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bCs/>
          <w:color w:val="000000"/>
          <w:sz w:val="22"/>
          <w:szCs w:val="22"/>
        </w:rPr>
        <w:t>LEY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FB65E2">
        <w:rPr>
          <w:b/>
          <w:bCs/>
          <w:color w:val="000000"/>
          <w:sz w:val="22"/>
          <w:szCs w:val="22"/>
        </w:rPr>
        <w:t>1610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FB65E2">
        <w:rPr>
          <w:b/>
          <w:bCs/>
          <w:color w:val="000000"/>
          <w:sz w:val="22"/>
          <w:szCs w:val="22"/>
        </w:rPr>
        <w:t>DE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="0060164A">
        <w:rPr>
          <w:b/>
          <w:bCs/>
          <w:color w:val="000000"/>
          <w:sz w:val="22"/>
          <w:szCs w:val="22"/>
        </w:rPr>
        <w:t>2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="0060164A">
        <w:rPr>
          <w:b/>
          <w:bCs/>
          <w:color w:val="000000"/>
          <w:sz w:val="22"/>
          <w:szCs w:val="22"/>
        </w:rPr>
        <w:t>DE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="0060164A">
        <w:rPr>
          <w:b/>
          <w:bCs/>
          <w:color w:val="000000"/>
          <w:sz w:val="22"/>
          <w:szCs w:val="22"/>
        </w:rPr>
        <w:t>ENERO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="0060164A">
        <w:rPr>
          <w:b/>
          <w:bCs/>
          <w:color w:val="000000"/>
          <w:sz w:val="22"/>
          <w:szCs w:val="22"/>
        </w:rPr>
        <w:t>DE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FB65E2">
        <w:rPr>
          <w:b/>
          <w:bCs/>
          <w:color w:val="000000"/>
          <w:sz w:val="22"/>
          <w:szCs w:val="22"/>
        </w:rPr>
        <w:t>2013</w:t>
      </w:r>
    </w:p>
    <w:p w:rsidR="00FB65E2" w:rsidRDefault="000561B3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561B3">
        <w:rPr>
          <w:b/>
          <w:color w:val="000000"/>
          <w:sz w:val="22"/>
          <w:szCs w:val="22"/>
        </w:rPr>
        <w:t>Diario</w:t>
      </w:r>
      <w:r w:rsidR="00B80665">
        <w:rPr>
          <w:b/>
          <w:color w:val="000000"/>
          <w:sz w:val="22"/>
          <w:szCs w:val="22"/>
        </w:rPr>
        <w:t xml:space="preserve"> </w:t>
      </w:r>
      <w:r w:rsidRPr="000561B3">
        <w:rPr>
          <w:b/>
          <w:color w:val="000000"/>
          <w:sz w:val="22"/>
          <w:szCs w:val="22"/>
        </w:rPr>
        <w:t>O</w:t>
      </w:r>
      <w:r>
        <w:rPr>
          <w:b/>
          <w:color w:val="000000"/>
          <w:sz w:val="22"/>
          <w:szCs w:val="22"/>
        </w:rPr>
        <w:t>ficial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No.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48.661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enero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2013</w:t>
      </w:r>
    </w:p>
    <w:p w:rsidR="000561B3" w:rsidRPr="00FB65E2" w:rsidRDefault="000561B3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color w:val="000000"/>
          <w:sz w:val="22"/>
          <w:szCs w:val="22"/>
        </w:rPr>
        <w:t>CONGRESO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LA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REPÚBLICA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iCs/>
          <w:color w:val="000000"/>
          <w:sz w:val="22"/>
          <w:szCs w:val="22"/>
        </w:rPr>
        <w:t>Por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la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cual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se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regulan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algunos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aspectos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sobre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las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inspecciones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del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trabajo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y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los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acuerdos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formalización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laboral.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color w:val="000000"/>
          <w:sz w:val="22"/>
          <w:szCs w:val="22"/>
        </w:rPr>
        <w:t>EL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CONGRESO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COLOMBIA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color w:val="000000"/>
          <w:sz w:val="22"/>
          <w:szCs w:val="22"/>
        </w:rPr>
        <w:t>DECRETA: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color w:val="000000"/>
          <w:sz w:val="22"/>
          <w:szCs w:val="22"/>
        </w:rPr>
        <w:t>CAPÍTULO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I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65E2">
        <w:rPr>
          <w:b/>
          <w:bCs/>
          <w:color w:val="000000"/>
          <w:sz w:val="22"/>
          <w:szCs w:val="22"/>
        </w:rPr>
        <w:t>INSPECCIONES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FB65E2">
        <w:rPr>
          <w:b/>
          <w:bCs/>
          <w:color w:val="000000"/>
          <w:sz w:val="22"/>
          <w:szCs w:val="22"/>
        </w:rPr>
        <w:t>DE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FB65E2">
        <w:rPr>
          <w:b/>
          <w:bCs/>
          <w:color w:val="000000"/>
          <w:sz w:val="22"/>
          <w:szCs w:val="22"/>
        </w:rPr>
        <w:t>TRABAJO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FB65E2">
        <w:rPr>
          <w:b/>
          <w:color w:val="000000"/>
          <w:sz w:val="22"/>
          <w:szCs w:val="22"/>
        </w:rPr>
        <w:t>1.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COMPETENCIA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FB65E2">
        <w:rPr>
          <w:b/>
          <w:iCs/>
          <w:color w:val="000000"/>
          <w:sz w:val="22"/>
          <w:szCs w:val="22"/>
        </w:rPr>
        <w:t>GENERAL.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ejercerán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inspección,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vigilancia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control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todo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territorio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nacional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conocerán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asuntos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individuales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colectivos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sector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privado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derecho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colectivo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sector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público.</w:t>
      </w:r>
    </w:p>
    <w:p w:rsid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C2FB6" w:rsidRPr="004C2FB6" w:rsidRDefault="004C2FB6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C2FB6">
        <w:rPr>
          <w:b/>
          <w:color w:val="000000"/>
          <w:sz w:val="22"/>
          <w:szCs w:val="22"/>
          <w:highlight w:val="yellow"/>
        </w:rPr>
        <w:t>CONCORDANCIAS:</w:t>
      </w:r>
    </w:p>
    <w:p w:rsidR="00EA28E8" w:rsidRDefault="00A73622" w:rsidP="004C2FB6">
      <w:pPr>
        <w:numPr>
          <w:ilvl w:val="0"/>
          <w:numId w:val="6"/>
        </w:numPr>
        <w:rPr>
          <w:rFonts w:ascii="Times New Roman" w:hAnsi="Times New Roman"/>
          <w:b/>
          <w:highlight w:val="yellow"/>
        </w:rPr>
      </w:pPr>
      <w:hyperlink r:id="rId5" w:history="1">
        <w:r w:rsidR="00EA28E8" w:rsidRPr="00EA28E8">
          <w:rPr>
            <w:rStyle w:val="Hipervnculo"/>
            <w:rFonts w:ascii="Times New Roman" w:hAnsi="Times New Roman"/>
            <w:b/>
            <w:highlight w:val="yellow"/>
          </w:rPr>
          <w:t>Resolución Ministerio del Trabajo No. 3455 de 16 de noviembre de 2021</w:t>
        </w:r>
      </w:hyperlink>
      <w:r w:rsidR="00EA28E8" w:rsidRPr="00313D2E">
        <w:rPr>
          <w:rFonts w:ascii="Times New Roman" w:hAnsi="Times New Roman"/>
          <w:b/>
          <w:highlight w:val="yellow"/>
        </w:rPr>
        <w:t>:</w:t>
      </w:r>
      <w:r w:rsidR="00EA28E8" w:rsidRPr="00EA28E8">
        <w:rPr>
          <w:rFonts w:ascii="Times New Roman" w:hAnsi="Times New Roman"/>
          <w:b/>
          <w:highlight w:val="yellow"/>
        </w:rPr>
        <w:t xml:space="preserve"> </w:t>
      </w:r>
      <w:r w:rsidR="00EA28E8" w:rsidRPr="00EA28E8">
        <w:rPr>
          <w:rFonts w:ascii="Times New Roman" w:hAnsi="Times New Roman"/>
          <w:bCs/>
          <w:highlight w:val="yellow"/>
        </w:rPr>
        <w:t>Por la cual se asignan competencias a las Direcciones Territoriales y Oficinas Especiales e Inspecciones de Trabajo.</w:t>
      </w:r>
    </w:p>
    <w:p w:rsidR="004C2FB6" w:rsidRPr="00313D2E" w:rsidRDefault="00A73622" w:rsidP="004C2FB6">
      <w:pPr>
        <w:numPr>
          <w:ilvl w:val="0"/>
          <w:numId w:val="6"/>
        </w:numPr>
        <w:rPr>
          <w:rFonts w:ascii="Times New Roman" w:hAnsi="Times New Roman"/>
          <w:b/>
          <w:highlight w:val="yellow"/>
        </w:rPr>
      </w:pPr>
      <w:hyperlink r:id="rId6" w:history="1"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Resolución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Ministerio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del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Trabajo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No.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345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11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febrero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4C2FB6" w:rsidRPr="00313D2E">
          <w:rPr>
            <w:rStyle w:val="Hipervnculo"/>
            <w:rFonts w:ascii="Times New Roman" w:hAnsi="Times New Roman"/>
            <w:b/>
            <w:highlight w:val="yellow"/>
          </w:rPr>
          <w:t>2020</w:t>
        </w:r>
      </w:hyperlink>
      <w:r w:rsidR="004C2FB6" w:rsidRPr="00313D2E">
        <w:rPr>
          <w:rFonts w:ascii="Times New Roman" w:hAnsi="Times New Roman"/>
          <w:b/>
          <w:highlight w:val="yellow"/>
        </w:rPr>
        <w:t>:</w:t>
      </w:r>
      <w:r w:rsidR="00B80665">
        <w:rPr>
          <w:rFonts w:ascii="Times New Roman" w:hAnsi="Times New Roman"/>
          <w:b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Por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la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cual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se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adopta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la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Política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Pública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de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Prevención,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Inspección,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Vigilancia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y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Control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(PIVC)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del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Trabajo: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Comprometidos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con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el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Trabajo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Decente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2020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-</w:t>
      </w:r>
      <w:r w:rsidR="00B80665">
        <w:rPr>
          <w:rFonts w:ascii="Times New Roman" w:hAnsi="Times New Roman"/>
          <w:highlight w:val="yellow"/>
        </w:rPr>
        <w:t xml:space="preserve"> </w:t>
      </w:r>
      <w:r w:rsidR="004C2FB6" w:rsidRPr="00313D2E">
        <w:rPr>
          <w:rFonts w:ascii="Times New Roman" w:hAnsi="Times New Roman"/>
          <w:highlight w:val="yellow"/>
        </w:rPr>
        <w:t>2030.</w:t>
      </w:r>
    </w:p>
    <w:p w:rsidR="004C2FB6" w:rsidRDefault="004C2FB6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2.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PRINCIPIOS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ORIENTADORES.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desempeño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funciones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competencias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regirán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principios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contenidos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Constitución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Política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Colombia,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Convenios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Internacionales,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especial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Organización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Internacional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ratificados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Colombia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demás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sobre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ejercicio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función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administrativa.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3.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FUNCIONES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PRINCIPALES.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tendrán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siguientes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funciones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principales: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iCs/>
          <w:color w:val="000000"/>
          <w:sz w:val="22"/>
          <w:szCs w:val="22"/>
        </w:rPr>
        <w:t>1.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Función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Preventiva: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propende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todas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carácter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socio</w:t>
      </w:r>
      <w:r w:rsidR="00814A01">
        <w:rPr>
          <w:color w:val="000000"/>
          <w:sz w:val="22"/>
          <w:szCs w:val="22"/>
        </w:rPr>
        <w:t>-</w:t>
      </w:r>
      <w:r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cumplan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cabalidad,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adoptando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medidas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garanticen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derechos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eviten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posibles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conflictos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entre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empleadores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trabajadores.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iCs/>
          <w:color w:val="000000"/>
          <w:sz w:val="22"/>
          <w:szCs w:val="22"/>
        </w:rPr>
        <w:t>2.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Función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Coactiva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o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de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Policía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Administrativa: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autoridades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policía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facultad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coercitiva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refiere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posibilidad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requerir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sancionar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responsables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inobservancia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violación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norma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siempre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principio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proporcionalidad.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iCs/>
          <w:color w:val="000000"/>
          <w:sz w:val="22"/>
          <w:szCs w:val="22"/>
        </w:rPr>
        <w:t>3.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Función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Conciliadora: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Corresponde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funcionarios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intervenir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solución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conflictos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carácter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individual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colectivo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sometidos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consideración,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agotamiento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vía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gubernativa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principio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economía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celeridad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procesal.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iCs/>
          <w:color w:val="000000"/>
          <w:sz w:val="22"/>
          <w:szCs w:val="22"/>
        </w:rPr>
        <w:lastRenderedPageBreak/>
        <w:t>4.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Función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de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mejoramiento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de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la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normatividad</w:t>
      </w:r>
      <w:r w:rsidR="00B80665">
        <w:rPr>
          <w:iCs/>
          <w:color w:val="000000"/>
          <w:sz w:val="22"/>
          <w:szCs w:val="22"/>
        </w:rPr>
        <w:t xml:space="preserve"> </w:t>
      </w:r>
      <w:r w:rsidRPr="00FB65E2">
        <w:rPr>
          <w:iCs/>
          <w:color w:val="000000"/>
          <w:sz w:val="22"/>
          <w:szCs w:val="22"/>
        </w:rPr>
        <w:t>laboral: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implementación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iniciativas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permitan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superar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vacíos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deficiencias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procedimentales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presentan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disposiciones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legales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vigentes.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5.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acompañamiento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garante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sistema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general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riesgos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pensiones.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PARÁGRAFO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1.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deberán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rendir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informe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anual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Dirección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Especial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Vigilancia,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Control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Gestión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Territorial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sobre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dificultades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logros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gestión,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así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como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recomendaciones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pertinentes.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PARÁGRAFO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2.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aquellos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casos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condiciones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terreno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acceder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sitio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ejercerá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inspección,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vigilancia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control,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requiera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apoyo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empleador,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trabajador,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organización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sindical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peticionario,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previa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autorización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Dirección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Territorial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podrán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pedirles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ayuda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logística.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funcionarios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Ministerio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podrán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solicitar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ejercicio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funciones,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colaboración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entidades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públicas.</w:t>
      </w:r>
    </w:p>
    <w:p w:rsidR="00E82455" w:rsidRDefault="00E82455" w:rsidP="00E82455">
      <w:pPr>
        <w:rPr>
          <w:rFonts w:ascii="Times New Roman" w:hAnsi="Times New Roman"/>
          <w:b/>
          <w:highlight w:val="cyan"/>
        </w:rPr>
      </w:pPr>
    </w:p>
    <w:p w:rsidR="00EA28E8" w:rsidRPr="004C2FB6" w:rsidRDefault="00EA28E8" w:rsidP="00EA28E8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4C2FB6">
        <w:rPr>
          <w:b/>
          <w:color w:val="000000"/>
          <w:sz w:val="22"/>
          <w:szCs w:val="22"/>
          <w:highlight w:val="yellow"/>
        </w:rPr>
        <w:t>CONCORDANCIAS:</w:t>
      </w:r>
    </w:p>
    <w:p w:rsidR="00EA28E8" w:rsidRDefault="00A73622" w:rsidP="00EA28E8">
      <w:pPr>
        <w:numPr>
          <w:ilvl w:val="0"/>
          <w:numId w:val="6"/>
        </w:numPr>
        <w:rPr>
          <w:rFonts w:ascii="Times New Roman" w:hAnsi="Times New Roman"/>
          <w:b/>
          <w:highlight w:val="yellow"/>
        </w:rPr>
      </w:pPr>
      <w:hyperlink r:id="rId7" w:history="1">
        <w:r w:rsidR="00EA28E8" w:rsidRPr="00EA28E8">
          <w:rPr>
            <w:rStyle w:val="Hipervnculo"/>
            <w:rFonts w:ascii="Times New Roman" w:hAnsi="Times New Roman"/>
            <w:b/>
            <w:highlight w:val="yellow"/>
          </w:rPr>
          <w:t>Resolución Ministerio del Trabajo No. 3455 de 16 de noviembre de 2021</w:t>
        </w:r>
      </w:hyperlink>
      <w:r w:rsidR="00EA28E8" w:rsidRPr="00313D2E">
        <w:rPr>
          <w:rFonts w:ascii="Times New Roman" w:hAnsi="Times New Roman"/>
          <w:b/>
          <w:highlight w:val="yellow"/>
        </w:rPr>
        <w:t>:</w:t>
      </w:r>
      <w:r w:rsidR="00EA28E8" w:rsidRPr="00EA28E8">
        <w:rPr>
          <w:rFonts w:ascii="Times New Roman" w:hAnsi="Times New Roman"/>
          <w:b/>
          <w:highlight w:val="yellow"/>
        </w:rPr>
        <w:t xml:space="preserve"> </w:t>
      </w:r>
      <w:r w:rsidR="00EA28E8" w:rsidRPr="00EA28E8">
        <w:rPr>
          <w:rFonts w:ascii="Times New Roman" w:hAnsi="Times New Roman"/>
          <w:bCs/>
          <w:highlight w:val="yellow"/>
        </w:rPr>
        <w:t>Por la cual se asignan competencias a las Direcciones Territoriales y Oficinas Especiales e Inspecciones de Trabajo.</w:t>
      </w:r>
    </w:p>
    <w:p w:rsidR="00EA28E8" w:rsidRDefault="00EA28E8" w:rsidP="00E82455">
      <w:pPr>
        <w:rPr>
          <w:rFonts w:ascii="Times New Roman" w:hAnsi="Times New Roman"/>
          <w:b/>
          <w:highlight w:val="cyan"/>
        </w:rPr>
      </w:pPr>
    </w:p>
    <w:p w:rsidR="00E82455" w:rsidRPr="00D4005E" w:rsidRDefault="00E82455" w:rsidP="00E82455">
      <w:pPr>
        <w:rPr>
          <w:rFonts w:ascii="Times New Roman" w:hAnsi="Times New Roman"/>
          <w:b/>
          <w:highlight w:val="cyan"/>
        </w:rPr>
      </w:pPr>
      <w:r w:rsidRPr="00D4005E">
        <w:rPr>
          <w:rFonts w:ascii="Times New Roman" w:hAnsi="Times New Roman"/>
          <w:b/>
          <w:highlight w:val="cyan"/>
        </w:rPr>
        <w:t>JURISPRUDENCIA:</w:t>
      </w:r>
    </w:p>
    <w:p w:rsidR="00E82455" w:rsidRPr="00D4005E" w:rsidRDefault="00A73622" w:rsidP="00E82455">
      <w:pPr>
        <w:numPr>
          <w:ilvl w:val="0"/>
          <w:numId w:val="4"/>
        </w:numPr>
        <w:rPr>
          <w:rFonts w:ascii="Times New Roman" w:hAnsi="Times New Roman"/>
          <w:b/>
          <w:highlight w:val="cyan"/>
        </w:rPr>
      </w:pPr>
      <w:hyperlink r:id="rId8" w:history="1"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SENTENCIA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T-572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13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SEPTIEMBRE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cyan"/>
          </w:rPr>
          <w:t xml:space="preserve"> </w:t>
        </w:r>
        <w:r w:rsidR="00E82455" w:rsidRPr="00D4005E">
          <w:rPr>
            <w:rStyle w:val="Hipervnculo"/>
            <w:rFonts w:ascii="Times New Roman" w:hAnsi="Times New Roman"/>
            <w:b/>
            <w:highlight w:val="cyan"/>
          </w:rPr>
          <w:t>2017</w:t>
        </w:r>
      </w:hyperlink>
      <w:r w:rsidR="00E82455" w:rsidRPr="00D4005E">
        <w:rPr>
          <w:rFonts w:ascii="Times New Roman" w:hAnsi="Times New Roman"/>
          <w:b/>
          <w:highlight w:val="cyan"/>
        </w:rPr>
        <w:t>.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CORTE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CONSTITUCIONAL.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M.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P.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DR.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ANTONIO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JOSÉ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LIZARAZO</w:t>
      </w:r>
      <w:r w:rsidR="00B80665">
        <w:rPr>
          <w:rFonts w:ascii="Times New Roman" w:hAnsi="Times New Roman"/>
          <w:b/>
          <w:highlight w:val="cyan"/>
        </w:rPr>
        <w:t xml:space="preserve"> </w:t>
      </w:r>
      <w:r w:rsidR="00E82455" w:rsidRPr="00D4005E">
        <w:rPr>
          <w:rFonts w:ascii="Times New Roman" w:hAnsi="Times New Roman"/>
          <w:b/>
          <w:highlight w:val="cyan"/>
        </w:rPr>
        <w:t>OCAMPO.</w:t>
      </w:r>
      <w:r w:rsidR="00B80665">
        <w:rPr>
          <w:rFonts w:ascii="Times New Roman" w:hAnsi="Times New Roman"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Normativa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internacional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y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nacional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contra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la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discriminación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racial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y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en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particular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contra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la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discriminación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en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el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entorno</w:t>
      </w:r>
      <w:r w:rsidR="00B80665">
        <w:rPr>
          <w:rFonts w:ascii="Times New Roman" w:hAnsi="Times New Roman"/>
          <w:i/>
          <w:highlight w:val="cyan"/>
        </w:rPr>
        <w:t xml:space="preserve"> </w:t>
      </w:r>
      <w:r w:rsidR="00E82455" w:rsidRPr="00D4005E">
        <w:rPr>
          <w:rFonts w:ascii="Times New Roman" w:hAnsi="Times New Roman"/>
          <w:i/>
          <w:highlight w:val="cyan"/>
        </w:rPr>
        <w:t>laboral.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4.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EQUIPOS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INTERDISCIPLINARIOS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LAS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DIRECCIONES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TERRITORIALES.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Direcciones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Territoriales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contarán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equipos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interdisciplinarios,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conformados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profesionales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afines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funciones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desarrollarán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misión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institucional.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integrantes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equipo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interdisciplinario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ejercicio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rendirán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dictámenes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tendrán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carácter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prueba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pericial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dentro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actuaciones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administrativas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inspección,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vigilancia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control,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conforme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ley.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5.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VINCULACIÓN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INSPECTORES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DEL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TRABAJO.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autoridades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responsables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adelantarán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procesos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correspondientes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vinculación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progresiva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Colombia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cumpla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promedio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recomendado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OIT.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6.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INICIO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LAS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ACTUACIONES.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actuaciones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administrativas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pueden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iniciarse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oficio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solicitud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parte.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Default="00063AC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3ACF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063ACF">
        <w:rPr>
          <w:b/>
          <w:color w:val="000000"/>
          <w:sz w:val="22"/>
          <w:szCs w:val="22"/>
        </w:rPr>
        <w:t>7.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063ACF">
        <w:rPr>
          <w:b/>
          <w:iCs/>
          <w:color w:val="000000"/>
          <w:sz w:val="22"/>
          <w:szCs w:val="22"/>
        </w:rPr>
        <w:t>MULTAS</w:t>
      </w:r>
      <w:r w:rsidRPr="00063ACF">
        <w:rPr>
          <w:b/>
          <w:color w:val="000000"/>
          <w:sz w:val="22"/>
          <w:szCs w:val="22"/>
        </w:rPr>
        <w:t>.</w:t>
      </w:r>
      <w:r w:rsidR="00B80665">
        <w:rPr>
          <w:b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Modifíquese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numeral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2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artículo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486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814A01">
        <w:rPr>
          <w:color w:val="000000"/>
          <w:sz w:val="22"/>
          <w:szCs w:val="22"/>
        </w:rPr>
        <w:t>*</w:t>
      </w:r>
      <w:r w:rsidR="00FB65E2" w:rsidRPr="00FB65E2">
        <w:rPr>
          <w:color w:val="000000"/>
          <w:sz w:val="22"/>
          <w:szCs w:val="22"/>
        </w:rPr>
        <w:t>Código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Sustantivo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quedará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así:</w:t>
      </w:r>
      <w:r w:rsidR="00B80665">
        <w:rPr>
          <w:color w:val="000000"/>
          <w:sz w:val="22"/>
          <w:szCs w:val="22"/>
        </w:rPr>
        <w:t xml:space="preserve"> </w:t>
      </w:r>
    </w:p>
    <w:p w:rsidR="001F46F4" w:rsidRDefault="001F46F4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F46F4" w:rsidRPr="001F46F4" w:rsidRDefault="001F46F4" w:rsidP="001F46F4">
      <w:pPr>
        <w:pStyle w:val="estilo1"/>
        <w:spacing w:before="0" w:beforeAutospacing="0" w:after="0" w:afterAutospacing="0"/>
        <w:jc w:val="both"/>
        <w:rPr>
          <w:i/>
          <w:sz w:val="22"/>
          <w:szCs w:val="22"/>
          <w:lang w:val="es-ES" w:eastAsia="es-ES"/>
        </w:rPr>
      </w:pPr>
      <w:r w:rsidRPr="001F46F4">
        <w:rPr>
          <w:i/>
          <w:sz w:val="22"/>
          <w:szCs w:val="22"/>
          <w:lang w:val="es-ES" w:eastAsia="es-ES"/>
        </w:rPr>
        <w:lastRenderedPageBreak/>
        <w:t>2.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funcionarios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Ministerio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Trabajo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y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Seguridad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Social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que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indique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Gobierno,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tendrán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carácter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autoridades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policía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para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relacionado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vigilancia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y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control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qué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trata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numeral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anterior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y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están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facultados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para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imponer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cada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vez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multas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equivalentes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monto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uno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(1)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cinco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mil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(5.000)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veces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salario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mínimo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mensual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vigente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según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gravedad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infracción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y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mientras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esta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subsista,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sin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perjuicio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demás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sanciones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contempladas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normatividad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vigente.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Esta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multa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destinará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Servicio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Nacional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Aprendizaje,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SENA.</w:t>
      </w:r>
    </w:p>
    <w:p w:rsidR="001F46F4" w:rsidRPr="001F46F4" w:rsidRDefault="001F46F4" w:rsidP="001F46F4">
      <w:pPr>
        <w:pStyle w:val="estilo1"/>
        <w:spacing w:before="0" w:beforeAutospacing="0" w:after="0" w:afterAutospacing="0"/>
        <w:jc w:val="both"/>
        <w:rPr>
          <w:i/>
          <w:sz w:val="22"/>
          <w:szCs w:val="22"/>
          <w:lang w:val="es-ES" w:eastAsia="es-ES"/>
        </w:rPr>
      </w:pPr>
    </w:p>
    <w:p w:rsidR="001F46F4" w:rsidRPr="001F46F4" w:rsidRDefault="001F46F4" w:rsidP="001F46F4">
      <w:pPr>
        <w:pStyle w:val="estilo1"/>
        <w:spacing w:before="0" w:beforeAutospacing="0" w:after="0" w:afterAutospacing="0"/>
        <w:jc w:val="both"/>
        <w:rPr>
          <w:i/>
          <w:sz w:val="22"/>
          <w:szCs w:val="22"/>
          <w:lang w:val="es-ES"/>
        </w:rPr>
      </w:pP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imposición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multas,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otras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sanciones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otras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medidas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propias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su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función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como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autoridades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policía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laboral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por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parte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funcionarios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Ministerio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del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Trabajo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que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cumplan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funciones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inspección,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vigilancia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y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control,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no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implican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en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ningún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caso,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la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declaratoria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derechos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individuales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o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definición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de</w:t>
      </w:r>
      <w:r w:rsidR="00B80665">
        <w:rPr>
          <w:i/>
          <w:sz w:val="22"/>
          <w:szCs w:val="22"/>
          <w:lang w:val="es-ES" w:eastAsia="es-ES"/>
        </w:rPr>
        <w:t xml:space="preserve"> </w:t>
      </w:r>
      <w:r w:rsidRPr="001F46F4">
        <w:rPr>
          <w:i/>
          <w:sz w:val="22"/>
          <w:szCs w:val="22"/>
          <w:lang w:val="es-ES" w:eastAsia="es-ES"/>
        </w:rPr>
        <w:t>controversias.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814A01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sz w:val="22"/>
          <w:szCs w:val="22"/>
          <w:highlight w:val="green"/>
        </w:rPr>
        <w:t>*</w:t>
      </w:r>
      <w:r w:rsidRPr="00814A01">
        <w:rPr>
          <w:b/>
          <w:sz w:val="22"/>
          <w:szCs w:val="22"/>
          <w:highlight w:val="green"/>
          <w:u w:val="single"/>
        </w:rPr>
        <w:t>Nota</w:t>
      </w:r>
      <w:r w:rsidR="00B80665">
        <w:rPr>
          <w:b/>
          <w:sz w:val="22"/>
          <w:szCs w:val="22"/>
          <w:highlight w:val="green"/>
          <w:u w:val="single"/>
        </w:rPr>
        <w:t xml:space="preserve"> </w:t>
      </w:r>
      <w:r w:rsidRPr="00814A01">
        <w:rPr>
          <w:b/>
          <w:sz w:val="22"/>
          <w:szCs w:val="22"/>
          <w:highlight w:val="green"/>
          <w:u w:val="single"/>
        </w:rPr>
        <w:t>de</w:t>
      </w:r>
      <w:r w:rsidR="00B80665">
        <w:rPr>
          <w:b/>
          <w:sz w:val="22"/>
          <w:szCs w:val="22"/>
          <w:highlight w:val="green"/>
          <w:u w:val="single"/>
        </w:rPr>
        <w:t xml:space="preserve"> </w:t>
      </w:r>
      <w:r w:rsidRPr="00814A01">
        <w:rPr>
          <w:b/>
          <w:sz w:val="22"/>
          <w:szCs w:val="22"/>
          <w:highlight w:val="green"/>
          <w:u w:val="single"/>
        </w:rPr>
        <w:t>Interpretación</w:t>
      </w:r>
      <w:r w:rsidRPr="00814A01">
        <w:rPr>
          <w:b/>
          <w:sz w:val="22"/>
          <w:szCs w:val="22"/>
          <w:highlight w:val="green"/>
        </w:rPr>
        <w:t>: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Para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mayor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información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y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mejor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comprensión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remisión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hecha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Código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Sustantivo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Trabajo,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sugerimos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remitirse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las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publicaciones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nuestro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Grupo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Editorial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Nueva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Legislación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“Código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Sustantivo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y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Procesal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Trabajo”.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8.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CLAUSURA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LUGAR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TRABAJO.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podrán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imponer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cierre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lugar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existan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condiciones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pongan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peligro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vida,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integridad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personal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trabajadores.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término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(3)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diez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(10)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hábiles,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según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gravedad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violación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imposición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sellos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oficiales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Ministerio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cuenta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infracción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cometida.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lugar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clausurado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fuere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adicionalmente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casa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habitación,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permitirá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acceso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personas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habitan,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él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podrá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desarrollarse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ningún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tipo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actividad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tiempo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dure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todo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caso,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impondrán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sellos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correspondientes.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vez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aplicada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cierre,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caso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incurrir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nuevamente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cualquiera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hechos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sancionables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medida,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cierre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lugar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término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diez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(10)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treinta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(30)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calendario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caso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renuencia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reincidencia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violación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especialmente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materia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salud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ocupacional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industrial,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podrá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proceder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cierre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definitivo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establecimiento.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dispuesto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artículo,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autoridades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policía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obligación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prestar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activa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colaboración,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así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requieran.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ningún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caso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cierre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lugar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puede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ocasionar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detrimento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trabajadores.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esté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clausurado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lugar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contarán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laborados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efectos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pago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salarios,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prestaciones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sociales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vacaciones.</w:t>
      </w:r>
    </w:p>
    <w:p w:rsidR="0060164A" w:rsidRDefault="0060164A" w:rsidP="0060164A">
      <w:pPr>
        <w:rPr>
          <w:rFonts w:ascii="Times New Roman" w:eastAsia="Times New Roman" w:hAnsi="Times New Roman"/>
          <w:lang w:eastAsia="es-ES"/>
        </w:rPr>
      </w:pPr>
    </w:p>
    <w:p w:rsidR="0060164A" w:rsidRPr="001F3124" w:rsidRDefault="0060164A" w:rsidP="0060164A">
      <w:pPr>
        <w:rPr>
          <w:rFonts w:ascii="Times New Roman" w:eastAsia="Times New Roman" w:hAnsi="Times New Roman"/>
          <w:b/>
          <w:highlight w:val="yellow"/>
          <w:lang w:eastAsia="es-ES"/>
        </w:rPr>
      </w:pPr>
      <w:r w:rsidRPr="001F3124">
        <w:rPr>
          <w:rFonts w:ascii="Times New Roman" w:eastAsia="Times New Roman" w:hAnsi="Times New Roman"/>
          <w:b/>
          <w:highlight w:val="yellow"/>
          <w:lang w:eastAsia="es-ES"/>
        </w:rPr>
        <w:t>CONCORDANCIAS:</w:t>
      </w:r>
    </w:p>
    <w:p w:rsidR="0060164A" w:rsidRPr="001139CC" w:rsidRDefault="00A73622" w:rsidP="0060164A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highlight w:val="yellow"/>
          <w:lang w:eastAsia="es-ES"/>
        </w:rPr>
      </w:pPr>
      <w:hyperlink r:id="rId9" w:history="1"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Decreto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Reglamentario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472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17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marzo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2015</w:t>
        </w:r>
      </w:hyperlink>
      <w:r w:rsidR="0060164A" w:rsidRPr="001139CC">
        <w:rPr>
          <w:rFonts w:ascii="Times New Roman" w:eastAsia="Times New Roman" w:hAnsi="Times New Roman"/>
          <w:b/>
          <w:bCs/>
          <w:color w:val="000000"/>
          <w:highlight w:val="yellow"/>
          <w:lang w:eastAsia="es-CO"/>
        </w:rPr>
        <w:t>:</w:t>
      </w:r>
      <w:r w:rsidR="00B80665">
        <w:rPr>
          <w:rFonts w:ascii="Times New Roman" w:eastAsia="Times New Roman" w:hAnsi="Times New Roman"/>
          <w:b/>
          <w:b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Por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cual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reglamentan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criterios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graduación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multas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por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infracción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Normas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Seguridad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Salud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Riesgos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Laborales,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señalan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normas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para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aplicación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orden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clausura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lugar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cierre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definitivo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empresa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paralización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prohibición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inmediata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tareas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dictan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otras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disposiciones.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lastRenderedPageBreak/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9.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PRUEBAS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DE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OFICIO.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puede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ordenar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practicar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pruebas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oficio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imponer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sanción.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10.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PERÍODO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PROBATORIO.</w:t>
      </w:r>
      <w:r w:rsidR="00B80665">
        <w:rPr>
          <w:rStyle w:val="apple-converted-space"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deban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practicarse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pruebas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señalará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término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mayor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diez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(10)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hábiles.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Vencido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período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probatorio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dará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traslado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investigado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(3)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días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hábiles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alegatos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respectivos.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11.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PARALIZACIÓN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O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PROHIBICIÓN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INMEDIATA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TRABAJOS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O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TAREAS.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Inspectores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Social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podrán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ordenar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prohibición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inmediata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tareas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inobservancia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normativa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sobre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prevención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riesgos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concurrir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riesgo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grave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inminente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seguridad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salud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trabajadores,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hasta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tanto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supere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inobservancia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normatividad.</w:t>
      </w:r>
    </w:p>
    <w:p w:rsidR="0060164A" w:rsidRDefault="0060164A" w:rsidP="0060164A">
      <w:pPr>
        <w:rPr>
          <w:rFonts w:ascii="Times New Roman" w:eastAsia="Times New Roman" w:hAnsi="Times New Roman"/>
          <w:lang w:eastAsia="es-ES"/>
        </w:rPr>
      </w:pPr>
    </w:p>
    <w:p w:rsidR="0060164A" w:rsidRPr="001F3124" w:rsidRDefault="0060164A" w:rsidP="0060164A">
      <w:pPr>
        <w:rPr>
          <w:rFonts w:ascii="Times New Roman" w:eastAsia="Times New Roman" w:hAnsi="Times New Roman"/>
          <w:b/>
          <w:highlight w:val="yellow"/>
          <w:lang w:eastAsia="es-ES"/>
        </w:rPr>
      </w:pPr>
      <w:r w:rsidRPr="001F3124">
        <w:rPr>
          <w:rFonts w:ascii="Times New Roman" w:eastAsia="Times New Roman" w:hAnsi="Times New Roman"/>
          <w:b/>
          <w:highlight w:val="yellow"/>
          <w:lang w:eastAsia="es-ES"/>
        </w:rPr>
        <w:t>CONCORDANCIAS:</w:t>
      </w:r>
    </w:p>
    <w:p w:rsidR="0060164A" w:rsidRPr="001139CC" w:rsidRDefault="00A73622" w:rsidP="0060164A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highlight w:val="yellow"/>
          <w:lang w:eastAsia="es-ES"/>
        </w:rPr>
      </w:pPr>
      <w:hyperlink r:id="rId10" w:history="1"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Decreto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Reglamentario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472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17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marzo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de</w:t>
        </w:r>
        <w:r w:rsidR="00B80665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 xml:space="preserve"> </w:t>
        </w:r>
        <w:r w:rsidR="0060164A" w:rsidRPr="001139CC">
          <w:rPr>
            <w:rStyle w:val="Hipervnculo"/>
            <w:rFonts w:ascii="Times New Roman" w:eastAsia="Times New Roman" w:hAnsi="Times New Roman"/>
            <w:b/>
            <w:bCs/>
            <w:highlight w:val="yellow"/>
            <w:lang w:eastAsia="es-CO"/>
          </w:rPr>
          <w:t>2015</w:t>
        </w:r>
      </w:hyperlink>
      <w:r w:rsidR="0060164A" w:rsidRPr="001139CC">
        <w:rPr>
          <w:rFonts w:ascii="Times New Roman" w:eastAsia="Times New Roman" w:hAnsi="Times New Roman"/>
          <w:b/>
          <w:bCs/>
          <w:color w:val="000000"/>
          <w:highlight w:val="yellow"/>
          <w:lang w:eastAsia="es-CO"/>
        </w:rPr>
        <w:t>:</w:t>
      </w:r>
      <w:r w:rsidR="00B80665">
        <w:rPr>
          <w:rFonts w:ascii="Times New Roman" w:eastAsia="Times New Roman" w:hAnsi="Times New Roman"/>
          <w:b/>
          <w:b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Por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cual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reglamentan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criterios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graduación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multas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por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infracción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Normas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Seguridad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Salud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Riesgos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Laborales,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señalan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normas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para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aplicación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orden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clausura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del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lugar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cierre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definitivo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la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empresa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paralización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prohibición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inmediata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trabajos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tareas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y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se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dictan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otras</w:t>
      </w:r>
      <w:r w:rsidR="00B80665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 xml:space="preserve"> </w:t>
      </w:r>
      <w:r w:rsidR="0060164A" w:rsidRPr="00E42659">
        <w:rPr>
          <w:rFonts w:ascii="Times New Roman" w:eastAsia="Times New Roman" w:hAnsi="Times New Roman"/>
          <w:iCs/>
          <w:color w:val="000000"/>
          <w:highlight w:val="yellow"/>
          <w:lang w:eastAsia="es-CO"/>
        </w:rPr>
        <w:t>disposiciones.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12</w:t>
      </w:r>
      <w:r w:rsidRPr="00814A01">
        <w:rPr>
          <w:b/>
          <w:iCs/>
          <w:color w:val="000000"/>
          <w:sz w:val="22"/>
          <w:szCs w:val="22"/>
        </w:rPr>
        <w:t>.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GRADUACIÓN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LAS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SANCIONES</w:t>
      </w:r>
      <w:r w:rsidRPr="00814A01">
        <w:rPr>
          <w:b/>
          <w:color w:val="000000"/>
          <w:sz w:val="22"/>
          <w:szCs w:val="22"/>
        </w:rPr>
        <w:t>.</w:t>
      </w:r>
      <w:r w:rsidR="00B80665">
        <w:rPr>
          <w:b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sanciones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graduarán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atendiendo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siguientes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criterios: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1.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Daño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peligro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generado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intereses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jurídicos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tutelados.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2.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Beneficio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económico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obtenido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infractor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sí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favor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tercero.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3.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Reincidencia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comisión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infracción.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4.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Resistencia,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negativa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obstrucción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investigadora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supervisión.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5.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Utilización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fraudulentos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utilización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persona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interpuesta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ocultar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infracción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ocultar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efectos.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6.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Grado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prudencia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diligencia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hayan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atendido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deberes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hayan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legales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pertinentes.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7.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Renuencia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desacato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órdenes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impartidas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autoridad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competente.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8.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Reconocimiento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aceptación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expresa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infracción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antes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decreto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pruebas.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C193F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9.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Grave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violación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Derechos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Humanos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trabajadores.</w:t>
      </w:r>
    </w:p>
    <w:p w:rsidR="002C193F" w:rsidRDefault="002C193F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C193F" w:rsidRPr="00ED0173" w:rsidRDefault="002C193F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  <w:highlight w:val="yellow"/>
        </w:rPr>
      </w:pPr>
      <w:r w:rsidRPr="00ED0173">
        <w:rPr>
          <w:b/>
          <w:color w:val="000000"/>
          <w:sz w:val="22"/>
          <w:szCs w:val="22"/>
          <w:highlight w:val="yellow"/>
        </w:rPr>
        <w:t>CONCORDANCIAS:</w:t>
      </w:r>
    </w:p>
    <w:p w:rsidR="002C193F" w:rsidRPr="00ED0173" w:rsidRDefault="00A73622" w:rsidP="00ED0173">
      <w:pPr>
        <w:pStyle w:val="estilo1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  <w:highlight w:val="yellow"/>
        </w:rPr>
      </w:pPr>
      <w:hyperlink r:id="rId11" w:history="1">
        <w:r w:rsidR="002C193F" w:rsidRPr="00ED0173">
          <w:rPr>
            <w:rStyle w:val="Hipervnculo"/>
            <w:b/>
            <w:sz w:val="22"/>
            <w:szCs w:val="22"/>
            <w:highlight w:val="yellow"/>
          </w:rPr>
          <w:t>Resolución Ministerio del Trabajo No. 4277 de 27 de diciembre de 2021</w:t>
        </w:r>
      </w:hyperlink>
      <w:r w:rsidR="002C193F" w:rsidRPr="00ED0173">
        <w:rPr>
          <w:b/>
          <w:color w:val="000000"/>
          <w:sz w:val="22"/>
          <w:szCs w:val="22"/>
          <w:highlight w:val="yellow"/>
        </w:rPr>
        <w:t xml:space="preserve">: </w:t>
      </w:r>
      <w:r w:rsidR="002C193F" w:rsidRPr="00ED0173">
        <w:rPr>
          <w:color w:val="000000"/>
          <w:sz w:val="22"/>
          <w:szCs w:val="22"/>
          <w:highlight w:val="yellow"/>
        </w:rPr>
        <w:t>Por la cual se adopta la equivalencia entre salarios mínimos legales mensuales vigentes y unidades de valor tributario.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814A01" w:rsidRDefault="00814A01" w:rsidP="00814A01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CAPÍTULO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II</w:t>
      </w:r>
    </w:p>
    <w:p w:rsidR="00FB65E2" w:rsidRPr="00814A01" w:rsidRDefault="00814A01" w:rsidP="00814A01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14A01">
        <w:rPr>
          <w:b/>
          <w:bCs/>
          <w:color w:val="000000"/>
          <w:sz w:val="22"/>
          <w:szCs w:val="22"/>
        </w:rPr>
        <w:t>ACUERDOS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814A01">
        <w:rPr>
          <w:b/>
          <w:bCs/>
          <w:color w:val="000000"/>
          <w:sz w:val="22"/>
          <w:szCs w:val="22"/>
        </w:rPr>
        <w:t>DE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814A01">
        <w:rPr>
          <w:b/>
          <w:bCs/>
          <w:color w:val="000000"/>
          <w:sz w:val="22"/>
          <w:szCs w:val="22"/>
        </w:rPr>
        <w:t>FORMALIZACIÓN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814A01">
        <w:rPr>
          <w:b/>
          <w:bCs/>
          <w:color w:val="000000"/>
          <w:sz w:val="22"/>
          <w:szCs w:val="22"/>
        </w:rPr>
        <w:t>LABORAL</w:t>
      </w:r>
    </w:p>
    <w:p w:rsidR="00FB65E2" w:rsidRPr="00814A01" w:rsidRDefault="00B80665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lastRenderedPageBreak/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13.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DEFINICIÓN</w:t>
      </w:r>
      <w:r w:rsidRPr="00814A01">
        <w:rPr>
          <w:b/>
          <w:color w:val="000000"/>
          <w:sz w:val="22"/>
          <w:szCs w:val="22"/>
        </w:rPr>
        <w:t>.</w:t>
      </w:r>
      <w:r w:rsidR="00B80665">
        <w:rPr>
          <w:b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aquel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suscrito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entre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varios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empleadores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Dirección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Territorial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Ministerio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previo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visto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bueno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Despacho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Viceministro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Relaciones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Inspección,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consignan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compromisos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mejora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celebración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contratos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vocación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permanencia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tendrán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instituciones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empresas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públicas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privadas.</w:t>
      </w:r>
    </w:p>
    <w:p w:rsidR="00751D22" w:rsidRDefault="00751D22" w:rsidP="00751D22">
      <w:pPr>
        <w:rPr>
          <w:rFonts w:ascii="Times New Roman" w:eastAsia="Times New Roman" w:hAnsi="Times New Roman"/>
          <w:b/>
          <w:highlight w:val="yellow"/>
          <w:lang w:eastAsia="es-CO"/>
        </w:rPr>
      </w:pPr>
    </w:p>
    <w:p w:rsidR="00751D22" w:rsidRPr="004005F7" w:rsidRDefault="00751D22" w:rsidP="00751D22">
      <w:pPr>
        <w:rPr>
          <w:rFonts w:ascii="Times New Roman" w:eastAsia="Times New Roman" w:hAnsi="Times New Roman"/>
          <w:b/>
          <w:highlight w:val="yellow"/>
          <w:lang w:eastAsia="es-CO"/>
        </w:rPr>
      </w:pPr>
      <w:r w:rsidRPr="004005F7">
        <w:rPr>
          <w:rFonts w:ascii="Times New Roman" w:eastAsia="Times New Roman" w:hAnsi="Times New Roman"/>
          <w:b/>
          <w:highlight w:val="yellow"/>
          <w:lang w:eastAsia="es-CO"/>
        </w:rPr>
        <w:t>CONCORDANCIAS:</w:t>
      </w:r>
      <w:r w:rsidR="00B80665">
        <w:rPr>
          <w:rFonts w:ascii="Times New Roman" w:eastAsia="Times New Roman" w:hAnsi="Times New Roman"/>
          <w:b/>
          <w:highlight w:val="yellow"/>
          <w:lang w:eastAsia="es-CO"/>
        </w:rPr>
        <w:t xml:space="preserve"> </w:t>
      </w:r>
    </w:p>
    <w:p w:rsidR="00751D22" w:rsidRPr="004005F7" w:rsidRDefault="00A73622" w:rsidP="00751D22">
      <w:pPr>
        <w:pStyle w:val="estilo1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hyperlink r:id="rId12" w:history="1">
        <w:r w:rsidR="00751D22" w:rsidRPr="004005F7">
          <w:rPr>
            <w:rStyle w:val="Hipervnculo"/>
            <w:b/>
            <w:sz w:val="22"/>
            <w:szCs w:val="22"/>
            <w:highlight w:val="yellow"/>
          </w:rPr>
          <w:t>Decreto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Reglamentario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1376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de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22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de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julio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de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751D22" w:rsidRPr="004005F7">
          <w:rPr>
            <w:rStyle w:val="Hipervnculo"/>
            <w:b/>
            <w:sz w:val="22"/>
            <w:szCs w:val="22"/>
            <w:highlight w:val="yellow"/>
          </w:rPr>
          <w:t>2014:</w:t>
        </w:r>
      </w:hyperlink>
      <w:r w:rsidR="00B80665">
        <w:rPr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Por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cual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se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reglamentan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los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mecanismos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estructuración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las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plantas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empleos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carácter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temporal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y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los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Acuerdos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Formalización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Laboral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las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Empresas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Sociales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Estado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del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orden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nacional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y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territorial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y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se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dictan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otras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751D22" w:rsidRPr="004005F7">
        <w:rPr>
          <w:iCs/>
          <w:color w:val="000000"/>
          <w:sz w:val="22"/>
          <w:szCs w:val="22"/>
          <w:highlight w:val="yellow"/>
        </w:rPr>
        <w:t>disposiciones.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14.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OBJETIVOS</w:t>
      </w:r>
      <w:r w:rsidRPr="00814A01">
        <w:rPr>
          <w:b/>
          <w:color w:val="000000"/>
          <w:sz w:val="22"/>
          <w:szCs w:val="22"/>
        </w:rPr>
        <w:t>.</w:t>
      </w:r>
      <w:r w:rsidR="00B80665">
        <w:rPr>
          <w:b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Dentro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objetivos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encuentran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siguientes: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1.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Hacer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eficaz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Inspección,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Vigilancia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Control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ejercen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Direcciones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Territoriales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Ministerio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actuaciones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dirigidas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prevención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conductas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atenten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especial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previstas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hyperlink r:id="rId13" w:history="1">
        <w:r w:rsidRPr="00814A01">
          <w:rPr>
            <w:rStyle w:val="Hipervnculo"/>
            <w:sz w:val="22"/>
            <w:szCs w:val="22"/>
          </w:rPr>
          <w:t>Ley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1429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de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2010</w:t>
        </w:r>
      </w:hyperlink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modifiquen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adicionen.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2.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Lograr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relaciones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compromisos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eficaces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empleadores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mejorar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vinculación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personal,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buscando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celebración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contratos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vocación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permanencia,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términos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ley.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3.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Contribuir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logro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relación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constructiva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suma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esfuerzos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empleadores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fortalecer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vigilancia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acompañamiento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Ministerio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Trabajo.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15</w:t>
      </w:r>
      <w:r w:rsidRPr="00814A01">
        <w:rPr>
          <w:b/>
          <w:iCs/>
          <w:color w:val="000000"/>
          <w:sz w:val="22"/>
          <w:szCs w:val="22"/>
        </w:rPr>
        <w:t>.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CONDICIONES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Y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REQUISITO</w:t>
      </w:r>
      <w:r w:rsidRPr="00814A01">
        <w:rPr>
          <w:b/>
          <w:color w:val="000000"/>
          <w:sz w:val="22"/>
          <w:szCs w:val="22"/>
        </w:rPr>
        <w:t>S.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condiciones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requisitos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serán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establecidos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Ministro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mediante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resolución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expedirá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dentro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(3)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meses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siguientes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vigencia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ley.</w:t>
      </w:r>
    </w:p>
    <w:p w:rsidR="00F53A00" w:rsidRDefault="00F53A00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53A00" w:rsidRPr="00F53A00" w:rsidRDefault="00F53A00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  <w:highlight w:val="yellow"/>
        </w:rPr>
      </w:pPr>
      <w:r w:rsidRPr="00F53A00">
        <w:rPr>
          <w:b/>
          <w:color w:val="000000"/>
          <w:sz w:val="22"/>
          <w:szCs w:val="22"/>
          <w:highlight w:val="yellow"/>
        </w:rPr>
        <w:t>CONCORDANCIAS:</w:t>
      </w:r>
    </w:p>
    <w:p w:rsidR="00F53A00" w:rsidRPr="00F53A00" w:rsidRDefault="00A73622" w:rsidP="00F53A00">
      <w:pPr>
        <w:pStyle w:val="estilo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hyperlink r:id="rId14" w:history="1">
        <w:r w:rsidR="00F53A00" w:rsidRPr="00F53A00">
          <w:rPr>
            <w:rStyle w:val="Hipervnculo"/>
            <w:b/>
            <w:bCs/>
            <w:sz w:val="22"/>
            <w:szCs w:val="22"/>
            <w:highlight w:val="yellow"/>
          </w:rPr>
          <w:t>Resolución</w:t>
        </w:r>
        <w:r w:rsidR="00B80665">
          <w:rPr>
            <w:rStyle w:val="Hipervnculo"/>
            <w:b/>
            <w:bCs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sz w:val="22"/>
            <w:szCs w:val="22"/>
            <w:highlight w:val="yellow"/>
          </w:rPr>
          <w:t>Ministerio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sz w:val="22"/>
            <w:szCs w:val="22"/>
            <w:highlight w:val="yellow"/>
          </w:rPr>
          <w:t>del</w:t>
        </w:r>
        <w:r w:rsidR="00B80665">
          <w:rPr>
            <w:rStyle w:val="Hipervnculo"/>
            <w:b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sz w:val="22"/>
            <w:szCs w:val="22"/>
            <w:highlight w:val="yellow"/>
          </w:rPr>
          <w:t>Trabajo</w:t>
        </w:r>
        <w:r w:rsidR="00B80665">
          <w:rPr>
            <w:rStyle w:val="Hipervnculo"/>
            <w:b/>
            <w:bCs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bCs/>
            <w:sz w:val="22"/>
            <w:szCs w:val="22"/>
            <w:highlight w:val="yellow"/>
          </w:rPr>
          <w:t>No.</w:t>
        </w:r>
        <w:r w:rsidR="00B80665">
          <w:rPr>
            <w:rStyle w:val="Hipervnculo"/>
            <w:b/>
            <w:bCs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bCs/>
            <w:sz w:val="22"/>
            <w:szCs w:val="22"/>
            <w:highlight w:val="yellow"/>
          </w:rPr>
          <w:t>321</w:t>
        </w:r>
        <w:r w:rsidR="00B80665">
          <w:rPr>
            <w:rStyle w:val="Hipervnculo"/>
            <w:b/>
            <w:bCs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bCs/>
            <w:sz w:val="22"/>
            <w:szCs w:val="22"/>
            <w:highlight w:val="yellow"/>
          </w:rPr>
          <w:t>de</w:t>
        </w:r>
        <w:r w:rsidR="00B80665">
          <w:rPr>
            <w:rStyle w:val="Hipervnculo"/>
            <w:b/>
            <w:bCs/>
            <w:sz w:val="22"/>
            <w:szCs w:val="22"/>
            <w:highlight w:val="yellow"/>
          </w:rPr>
          <w:t xml:space="preserve"> </w:t>
        </w:r>
        <w:r w:rsidR="00F53A00" w:rsidRPr="00F53A00">
          <w:rPr>
            <w:rStyle w:val="Hipervnculo"/>
            <w:b/>
            <w:bCs/>
            <w:sz w:val="22"/>
            <w:szCs w:val="22"/>
            <w:highlight w:val="yellow"/>
          </w:rPr>
          <w:t>2013</w:t>
        </w:r>
      </w:hyperlink>
      <w:r w:rsidR="00F53A00" w:rsidRPr="00F53A00">
        <w:rPr>
          <w:b/>
          <w:bCs/>
          <w:color w:val="000000"/>
          <w:sz w:val="22"/>
          <w:szCs w:val="22"/>
          <w:highlight w:val="yellow"/>
        </w:rPr>
        <w:t>:</w:t>
      </w:r>
      <w:r w:rsidR="00B80665">
        <w:rPr>
          <w:b/>
          <w:b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Por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la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cual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se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establecen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las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condiciones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y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requisitos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para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la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realización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Acuerdos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Formalización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Laboral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previstos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en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el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Capítulo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II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la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Ley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1610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de</w:t>
      </w:r>
      <w:r w:rsidR="00B80665">
        <w:rPr>
          <w:iCs/>
          <w:color w:val="000000"/>
          <w:sz w:val="22"/>
          <w:szCs w:val="22"/>
          <w:highlight w:val="yellow"/>
        </w:rPr>
        <w:t xml:space="preserve"> </w:t>
      </w:r>
      <w:r w:rsidR="00F53A00" w:rsidRPr="00F53A00">
        <w:rPr>
          <w:iCs/>
          <w:color w:val="000000"/>
          <w:sz w:val="22"/>
          <w:szCs w:val="22"/>
          <w:highlight w:val="yellow"/>
        </w:rPr>
        <w:t>2013.</w:t>
      </w:r>
    </w:p>
    <w:p w:rsidR="00F53A00" w:rsidRPr="00F53A00" w:rsidRDefault="00F53A00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16</w:t>
      </w:r>
      <w:r w:rsidRPr="00814A01">
        <w:rPr>
          <w:b/>
          <w:iCs/>
          <w:color w:val="000000"/>
          <w:sz w:val="22"/>
          <w:szCs w:val="22"/>
        </w:rPr>
        <w:t>.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EFECTOS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ACUERDOS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FORMALIZACIÓN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LABORAL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EN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PROCESOS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ADMINISTRATIVOS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SANCIONATORIOS.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curso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averiguación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preliminar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investigación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administrativa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dirigida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imponer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sanción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incumplimiento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suscribe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requisitos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efecto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establezca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Ministro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funcionario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conoce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actuación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puede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suspender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misma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archivarla,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según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caso,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conformidad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siguientes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reglas: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1.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actuación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podrá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suspenderse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condicionada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encuentre,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vez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suscrito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respectivo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término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establecido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propio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compromisos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allí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señalados.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lastRenderedPageBreak/>
        <w:t>Una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vez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verificado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plazos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condiciones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allí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señalados,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funcionario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podrá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terminada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archivar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actuación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encuentre,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cualquiera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instancias.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FB65E2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65E2">
        <w:rPr>
          <w:color w:val="000000"/>
          <w:sz w:val="22"/>
          <w:szCs w:val="22"/>
        </w:rPr>
        <w:t>2.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Cuando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suscriba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Acuerdo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después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exista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decisión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sancionatoria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debidamente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ejecutoriada,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se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dará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lo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establecido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artículo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10</w:t>
      </w:r>
      <w:r w:rsidR="00B80665">
        <w:rPr>
          <w:color w:val="000000"/>
          <w:sz w:val="22"/>
          <w:szCs w:val="22"/>
        </w:rPr>
        <w:t xml:space="preserve"> </w:t>
      </w:r>
      <w:r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hyperlink r:id="rId15" w:history="1">
        <w:r w:rsidRPr="00814A01">
          <w:rPr>
            <w:rStyle w:val="Hipervnculo"/>
            <w:sz w:val="22"/>
            <w:szCs w:val="22"/>
          </w:rPr>
          <w:t>Decreto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número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2025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de</w:t>
        </w:r>
        <w:r w:rsidR="00B80665">
          <w:rPr>
            <w:rStyle w:val="Hipervnculo"/>
            <w:sz w:val="22"/>
            <w:szCs w:val="22"/>
          </w:rPr>
          <w:t xml:space="preserve"> </w:t>
        </w:r>
        <w:r w:rsidRPr="00814A01">
          <w:rPr>
            <w:rStyle w:val="Hipervnculo"/>
            <w:sz w:val="22"/>
            <w:szCs w:val="22"/>
          </w:rPr>
          <w:t>2011</w:t>
        </w:r>
      </w:hyperlink>
      <w:r w:rsidRPr="00FB65E2">
        <w:rPr>
          <w:color w:val="000000"/>
          <w:sz w:val="22"/>
          <w:szCs w:val="22"/>
        </w:rPr>
        <w:t>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PARÁGRAFO.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cumplimiento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empleador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conlleva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proceso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administrativo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sancionatorio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previsto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*</w:t>
      </w:r>
      <w:r w:rsidR="00FB65E2" w:rsidRPr="00FB65E2">
        <w:rPr>
          <w:color w:val="000000"/>
          <w:sz w:val="22"/>
          <w:szCs w:val="22"/>
        </w:rPr>
        <w:t>Ley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1437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2011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demás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normas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regulan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materia.</w:t>
      </w:r>
    </w:p>
    <w:p w:rsidR="00FB65E2" w:rsidRPr="00814A01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14A01" w:rsidRPr="00814A01" w:rsidRDefault="00814A01" w:rsidP="00FB65E2">
      <w:pPr>
        <w:pStyle w:val="estilo1"/>
        <w:spacing w:before="0" w:beforeAutospacing="0" w:after="0" w:afterAutospacing="0"/>
        <w:jc w:val="both"/>
        <w:rPr>
          <w:sz w:val="22"/>
          <w:szCs w:val="22"/>
        </w:rPr>
      </w:pPr>
      <w:r w:rsidRPr="00814A01">
        <w:rPr>
          <w:sz w:val="22"/>
          <w:szCs w:val="22"/>
          <w:highlight w:val="green"/>
        </w:rPr>
        <w:t>*</w:t>
      </w:r>
      <w:r w:rsidRPr="00814A01">
        <w:rPr>
          <w:b/>
          <w:sz w:val="22"/>
          <w:szCs w:val="22"/>
          <w:highlight w:val="green"/>
          <w:u w:val="single"/>
        </w:rPr>
        <w:t>Nota</w:t>
      </w:r>
      <w:r w:rsidR="00B80665">
        <w:rPr>
          <w:b/>
          <w:sz w:val="22"/>
          <w:szCs w:val="22"/>
          <w:highlight w:val="green"/>
          <w:u w:val="single"/>
        </w:rPr>
        <w:t xml:space="preserve"> </w:t>
      </w:r>
      <w:r w:rsidRPr="00814A01">
        <w:rPr>
          <w:b/>
          <w:sz w:val="22"/>
          <w:szCs w:val="22"/>
          <w:highlight w:val="green"/>
          <w:u w:val="single"/>
        </w:rPr>
        <w:t>de</w:t>
      </w:r>
      <w:r w:rsidR="00B80665">
        <w:rPr>
          <w:b/>
          <w:sz w:val="22"/>
          <w:szCs w:val="22"/>
          <w:highlight w:val="green"/>
          <w:u w:val="single"/>
        </w:rPr>
        <w:t xml:space="preserve"> </w:t>
      </w:r>
      <w:r w:rsidRPr="00814A01">
        <w:rPr>
          <w:b/>
          <w:sz w:val="22"/>
          <w:szCs w:val="22"/>
          <w:highlight w:val="green"/>
          <w:u w:val="single"/>
        </w:rPr>
        <w:t>Interpretación</w:t>
      </w:r>
      <w:r w:rsidRPr="00814A01">
        <w:rPr>
          <w:b/>
          <w:sz w:val="22"/>
          <w:szCs w:val="22"/>
          <w:highlight w:val="green"/>
        </w:rPr>
        <w:t>: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Para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mayor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información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y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mejor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comprensión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remisión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hecha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Ley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1437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2011,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sugerimos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remitirse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publicación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nuestro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Grupo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Editorial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Nueva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Legislación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“Código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Procedimiento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Administrativo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y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de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lo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Contencioso</w:t>
      </w:r>
      <w:r w:rsidR="00B80665">
        <w:rPr>
          <w:sz w:val="22"/>
          <w:szCs w:val="22"/>
          <w:highlight w:val="green"/>
        </w:rPr>
        <w:t xml:space="preserve"> </w:t>
      </w:r>
      <w:r w:rsidRPr="00814A01">
        <w:rPr>
          <w:sz w:val="22"/>
          <w:szCs w:val="22"/>
          <w:highlight w:val="green"/>
        </w:rPr>
        <w:t>Administrativo”.</w:t>
      </w:r>
    </w:p>
    <w:p w:rsidR="00814A01" w:rsidRPr="00814A01" w:rsidRDefault="00814A01" w:rsidP="00FB65E2">
      <w:pPr>
        <w:pStyle w:val="estilo1"/>
        <w:spacing w:before="0" w:beforeAutospacing="0" w:after="0" w:afterAutospacing="0"/>
        <w:jc w:val="both"/>
        <w:rPr>
          <w:sz w:val="22"/>
          <w:szCs w:val="22"/>
        </w:rPr>
      </w:pPr>
    </w:p>
    <w:p w:rsidR="008442A2" w:rsidRPr="00504412" w:rsidRDefault="008442A2" w:rsidP="008442A2">
      <w:pPr>
        <w:rPr>
          <w:rStyle w:val="textonavy"/>
          <w:rFonts w:ascii="Times New Roman" w:hAnsi="Times New Roman"/>
          <w:b/>
          <w:highlight w:val="yellow"/>
        </w:rPr>
      </w:pPr>
      <w:r w:rsidRPr="00504412">
        <w:rPr>
          <w:rStyle w:val="textonavy"/>
          <w:rFonts w:ascii="Times New Roman" w:hAnsi="Times New Roman"/>
          <w:b/>
          <w:highlight w:val="yellow"/>
        </w:rPr>
        <w:t>CONCORDANCIAS:</w:t>
      </w:r>
    </w:p>
    <w:p w:rsidR="008442A2" w:rsidRPr="00504412" w:rsidRDefault="00A73622" w:rsidP="008442A2">
      <w:pPr>
        <w:numPr>
          <w:ilvl w:val="0"/>
          <w:numId w:val="5"/>
        </w:numPr>
        <w:rPr>
          <w:rStyle w:val="textonavy"/>
          <w:rFonts w:ascii="Times New Roman" w:hAnsi="Times New Roman"/>
          <w:highlight w:val="yellow"/>
        </w:rPr>
      </w:pPr>
      <w:hyperlink r:id="rId16" w:history="1"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Ley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1955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25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mayo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de</w:t>
        </w:r>
        <w:r w:rsidR="00B80665">
          <w:rPr>
            <w:rStyle w:val="Hipervnculo"/>
            <w:rFonts w:ascii="Times New Roman" w:hAnsi="Times New Roman"/>
            <w:b/>
            <w:highlight w:val="yellow"/>
          </w:rPr>
          <w:t xml:space="preserve"> </w:t>
        </w:r>
        <w:r w:rsidR="008442A2" w:rsidRPr="00504412">
          <w:rPr>
            <w:rStyle w:val="Hipervnculo"/>
            <w:rFonts w:ascii="Times New Roman" w:hAnsi="Times New Roman"/>
            <w:b/>
            <w:highlight w:val="yellow"/>
          </w:rPr>
          <w:t>2019</w:t>
        </w:r>
      </w:hyperlink>
      <w:r w:rsidR="008442A2" w:rsidRPr="00504412">
        <w:rPr>
          <w:rStyle w:val="textonavy"/>
          <w:rFonts w:ascii="Times New Roman" w:hAnsi="Times New Roman"/>
          <w:b/>
          <w:highlight w:val="yellow"/>
        </w:rPr>
        <w:t>:</w:t>
      </w:r>
      <w:r w:rsidR="00B80665">
        <w:rPr>
          <w:rStyle w:val="textonavy"/>
          <w:rFonts w:ascii="Times New Roman" w:hAnsi="Times New Roman"/>
          <w:b/>
          <w:highlight w:val="yellow"/>
        </w:rPr>
        <w:t xml:space="preserve"> </w:t>
      </w:r>
      <w:r w:rsidR="008442A2" w:rsidRPr="00504412">
        <w:rPr>
          <w:rStyle w:val="textonavy"/>
          <w:rFonts w:ascii="Times New Roman" w:hAnsi="Times New Roman"/>
          <w:highlight w:val="yellow"/>
        </w:rPr>
        <w:t>Art.</w:t>
      </w:r>
      <w:r w:rsidR="00B80665">
        <w:rPr>
          <w:rStyle w:val="textonavy"/>
          <w:rFonts w:ascii="Times New Roman" w:hAnsi="Times New Roman"/>
          <w:highlight w:val="yellow"/>
        </w:rPr>
        <w:t xml:space="preserve"> </w:t>
      </w:r>
      <w:r w:rsidR="008442A2" w:rsidRPr="00504412">
        <w:rPr>
          <w:rStyle w:val="textonavy"/>
          <w:rFonts w:ascii="Times New Roman" w:hAnsi="Times New Roman"/>
          <w:highlight w:val="yellow"/>
        </w:rPr>
        <w:t>2</w:t>
      </w:r>
      <w:r w:rsidR="008442A2">
        <w:rPr>
          <w:rStyle w:val="textonavy"/>
          <w:rFonts w:ascii="Times New Roman" w:hAnsi="Times New Roman"/>
          <w:highlight w:val="yellow"/>
        </w:rPr>
        <w:t>00</w:t>
      </w:r>
      <w:r w:rsidR="008442A2" w:rsidRPr="00504412">
        <w:rPr>
          <w:rStyle w:val="textonavy"/>
          <w:rFonts w:ascii="Times New Roman" w:hAnsi="Times New Roman"/>
          <w:highlight w:val="yellow"/>
        </w:rPr>
        <w:t>.</w:t>
      </w:r>
    </w:p>
    <w:p w:rsidR="008442A2" w:rsidRDefault="008442A2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17.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PROTECCIÓN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A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LOS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DERECHOS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IRRENUNCIABLES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DEL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TRABAJADOR.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Acuerdos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Formalización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trata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ley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mantendrá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salvo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todos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cada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derechos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irrenunciables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trabajadores,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así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como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derecho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iniciar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acciones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judiciales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pertinentes.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814A01" w:rsidRDefault="00814A01" w:rsidP="00814A01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CAPÍTULO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III</w:t>
      </w:r>
    </w:p>
    <w:p w:rsidR="00FB65E2" w:rsidRPr="00814A01" w:rsidRDefault="00814A01" w:rsidP="00814A01">
      <w:pPr>
        <w:pStyle w:val="estilo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814A01">
        <w:rPr>
          <w:b/>
          <w:bCs/>
          <w:color w:val="000000"/>
          <w:sz w:val="22"/>
          <w:szCs w:val="22"/>
        </w:rPr>
        <w:t>DEROGACIONES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814A01">
        <w:rPr>
          <w:b/>
          <w:bCs/>
          <w:color w:val="000000"/>
          <w:sz w:val="22"/>
          <w:szCs w:val="22"/>
        </w:rPr>
        <w:t>Y</w:t>
      </w:r>
      <w:r w:rsidR="00B80665">
        <w:rPr>
          <w:b/>
          <w:bCs/>
          <w:color w:val="000000"/>
          <w:sz w:val="22"/>
          <w:szCs w:val="22"/>
        </w:rPr>
        <w:t xml:space="preserve"> </w:t>
      </w:r>
      <w:r w:rsidRPr="00814A01">
        <w:rPr>
          <w:b/>
          <w:bCs/>
          <w:color w:val="000000"/>
          <w:sz w:val="22"/>
          <w:szCs w:val="22"/>
        </w:rPr>
        <w:t>VIGENCIA</w:t>
      </w:r>
    </w:p>
    <w:p w:rsidR="00FB65E2" w:rsidRPr="00814A01" w:rsidRDefault="00B80665" w:rsidP="00FB65E2">
      <w:pPr>
        <w:pStyle w:val="estilo1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18.</w:t>
      </w:r>
      <w:r w:rsidR="00B80665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DEROGACIONES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Y</w:t>
      </w:r>
      <w:r w:rsidR="00B80665">
        <w:rPr>
          <w:b/>
          <w:iCs/>
          <w:color w:val="000000"/>
          <w:sz w:val="22"/>
          <w:szCs w:val="22"/>
        </w:rPr>
        <w:t xml:space="preserve"> </w:t>
      </w:r>
      <w:r w:rsidRPr="00814A01">
        <w:rPr>
          <w:b/>
          <w:iCs/>
          <w:color w:val="000000"/>
          <w:sz w:val="22"/>
          <w:szCs w:val="22"/>
        </w:rPr>
        <w:t>VIGENCIA.</w:t>
      </w:r>
      <w:r w:rsidR="00B80665">
        <w:rPr>
          <w:rStyle w:val="apple-converted-space"/>
          <w:b/>
          <w:iCs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ley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rige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partir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su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promulgación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deroga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todas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disposiciones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que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sean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contrarias.</w:t>
      </w:r>
    </w:p>
    <w:p w:rsidR="00FB65E2" w:rsidRPr="00FB65E2" w:rsidRDefault="00B80665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B65E2" w:rsidRPr="00FB65E2" w:rsidRDefault="00814A01" w:rsidP="00FB65E2">
      <w:pPr>
        <w:pStyle w:val="estilo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14A01">
        <w:rPr>
          <w:b/>
          <w:color w:val="000000"/>
          <w:sz w:val="22"/>
          <w:szCs w:val="22"/>
        </w:rPr>
        <w:t>ARTÍCULO</w:t>
      </w:r>
      <w:r w:rsidR="00B80665">
        <w:rPr>
          <w:b/>
          <w:color w:val="000000"/>
          <w:sz w:val="22"/>
          <w:szCs w:val="22"/>
        </w:rPr>
        <w:t xml:space="preserve"> </w:t>
      </w:r>
      <w:r w:rsidRPr="00814A01">
        <w:rPr>
          <w:b/>
          <w:color w:val="000000"/>
          <w:sz w:val="22"/>
          <w:szCs w:val="22"/>
        </w:rPr>
        <w:t>19.</w:t>
      </w:r>
      <w:r w:rsidR="00B80665">
        <w:rPr>
          <w:b/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Gobierno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Nacional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reglamentará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pertinente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aplicación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presente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ley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en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término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no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mayor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seis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(6)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meses,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contados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partir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fecha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promulgación,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participación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una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comisión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concertación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de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políticas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salariales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y</w:t>
      </w:r>
      <w:r w:rsidR="00B80665">
        <w:rPr>
          <w:color w:val="000000"/>
          <w:sz w:val="22"/>
          <w:szCs w:val="22"/>
        </w:rPr>
        <w:t xml:space="preserve"> </w:t>
      </w:r>
      <w:r w:rsidR="00FB65E2" w:rsidRPr="00FB65E2">
        <w:rPr>
          <w:color w:val="000000"/>
          <w:sz w:val="22"/>
          <w:szCs w:val="22"/>
        </w:rPr>
        <w:t>laborales.</w:t>
      </w:r>
    </w:p>
    <w:p w:rsidR="00271E90" w:rsidRPr="00FB65E2" w:rsidRDefault="00271E90" w:rsidP="00FB65E2">
      <w:pPr>
        <w:rPr>
          <w:rFonts w:ascii="Times New Roman" w:hAnsi="Times New Roman"/>
        </w:rPr>
      </w:pPr>
    </w:p>
    <w:sectPr w:rsidR="00271E90" w:rsidRPr="00FB65E2" w:rsidSect="00271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D86"/>
    <w:multiLevelType w:val="hybridMultilevel"/>
    <w:tmpl w:val="82D0D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51046"/>
    <w:multiLevelType w:val="hybridMultilevel"/>
    <w:tmpl w:val="DE701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E2AF2"/>
    <w:multiLevelType w:val="hybridMultilevel"/>
    <w:tmpl w:val="F4725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D1376"/>
    <w:multiLevelType w:val="hybridMultilevel"/>
    <w:tmpl w:val="7AB02B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909AD"/>
    <w:multiLevelType w:val="hybridMultilevel"/>
    <w:tmpl w:val="335CA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B1A"/>
    <w:multiLevelType w:val="hybridMultilevel"/>
    <w:tmpl w:val="CC461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4004">
    <w:abstractNumId w:val="3"/>
  </w:num>
  <w:num w:numId="2" w16cid:durableId="856845994">
    <w:abstractNumId w:val="2"/>
  </w:num>
  <w:num w:numId="3" w16cid:durableId="1280599643">
    <w:abstractNumId w:val="1"/>
  </w:num>
  <w:num w:numId="4" w16cid:durableId="1922788850">
    <w:abstractNumId w:val="5"/>
  </w:num>
  <w:num w:numId="5" w16cid:durableId="481702689">
    <w:abstractNumId w:val="4"/>
  </w:num>
  <w:num w:numId="6" w16cid:durableId="11195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5E2"/>
    <w:rsid w:val="00014033"/>
    <w:rsid w:val="000561B3"/>
    <w:rsid w:val="00063ACF"/>
    <w:rsid w:val="000E65FA"/>
    <w:rsid w:val="001F46F4"/>
    <w:rsid w:val="002341C8"/>
    <w:rsid w:val="00271E90"/>
    <w:rsid w:val="002C193F"/>
    <w:rsid w:val="002C2E1F"/>
    <w:rsid w:val="002F359F"/>
    <w:rsid w:val="004C2FB6"/>
    <w:rsid w:val="00572B51"/>
    <w:rsid w:val="0060164A"/>
    <w:rsid w:val="00640512"/>
    <w:rsid w:val="006F5F3F"/>
    <w:rsid w:val="00751D22"/>
    <w:rsid w:val="00814A01"/>
    <w:rsid w:val="008442A2"/>
    <w:rsid w:val="00A73622"/>
    <w:rsid w:val="00B80665"/>
    <w:rsid w:val="00BB70FC"/>
    <w:rsid w:val="00CD75E0"/>
    <w:rsid w:val="00E82455"/>
    <w:rsid w:val="00EA28E8"/>
    <w:rsid w:val="00ED0173"/>
    <w:rsid w:val="00F53A00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A7BD-8F61-484A-80C4-D845861B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90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B65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B65E2"/>
  </w:style>
  <w:style w:type="character" w:styleId="Hipervnculo">
    <w:name w:val="Hyperlink"/>
    <w:uiPriority w:val="99"/>
    <w:unhideWhenUsed/>
    <w:rsid w:val="00814A0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51D2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F46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navy">
    <w:name w:val="texto_navy"/>
    <w:rsid w:val="008442A2"/>
  </w:style>
  <w:style w:type="character" w:styleId="Mencinsinresolver">
    <w:name w:val="Unresolved Mention"/>
    <w:uiPriority w:val="99"/>
    <w:semiHidden/>
    <w:unhideWhenUsed/>
    <w:rsid w:val="00EA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legislacion.com/files/susc/cdj/juri/st_572_17.docx" TargetMode="External"/><Relationship Id="rId13" Type="http://schemas.openxmlformats.org/officeDocument/2006/relationships/hyperlink" Target="https://www.enlegislacion.com/files/susc/cdj/conc/l_1429_10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legislacion.com/files/susc/cdj/conc/r_mtr_3455_21.docx" TargetMode="External"/><Relationship Id="rId12" Type="http://schemas.openxmlformats.org/officeDocument/2006/relationships/hyperlink" Target="https://www.enlegislacion.com/files/susc/cdj/conc/dr_1376_14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nlegislacion.com/files/susc/cdj/conc/l_1955_1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legislacion.com/files/susc/cdj/conc/r_mtr_345_20.docx" TargetMode="External"/><Relationship Id="rId11" Type="http://schemas.openxmlformats.org/officeDocument/2006/relationships/hyperlink" Target="https://www.enlegislacion.com/files/susc/cdj/conc/r_mtr_4277_21.pdf" TargetMode="External"/><Relationship Id="rId5" Type="http://schemas.openxmlformats.org/officeDocument/2006/relationships/hyperlink" Target="https://www.enlegislacion.com/files/susc/cdj/conc/r_mtr_3455_21.docx" TargetMode="External"/><Relationship Id="rId15" Type="http://schemas.openxmlformats.org/officeDocument/2006/relationships/hyperlink" Target="https://www.enlegislacion.com/files/susc/cdj/conc/dr_2025_11.docx" TargetMode="External"/><Relationship Id="rId10" Type="http://schemas.openxmlformats.org/officeDocument/2006/relationships/hyperlink" Target="https://www.enlegislacion.com/files/susc/cdj/conc/dr_472_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legislacion.com/files/susc/cdj/conc/dr_472_15.docx" TargetMode="External"/><Relationship Id="rId14" Type="http://schemas.openxmlformats.org/officeDocument/2006/relationships/hyperlink" Target="https://www.enlegislacion.com/files/susc/cdj/conc/r_mtr_321_13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2546</Words>
  <Characters>14005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Base>http://www.nuevalegislacion.com/files/susc/cdj/conc/</HyperlinkBase>
  <HLinks>
    <vt:vector size="72" baseType="variant"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l_1955_19.doc</vt:lpwstr>
      </vt:variant>
      <vt:variant>
        <vt:lpwstr/>
      </vt:variant>
      <vt:variant>
        <vt:i4>1769550</vt:i4>
      </vt:variant>
      <vt:variant>
        <vt:i4>30</vt:i4>
      </vt:variant>
      <vt:variant>
        <vt:i4>0</vt:i4>
      </vt:variant>
      <vt:variant>
        <vt:i4>5</vt:i4>
      </vt:variant>
      <vt:variant>
        <vt:lpwstr>dr_2025_11.doc</vt:lpwstr>
      </vt:variant>
      <vt:variant>
        <vt:lpwstr/>
      </vt:variant>
      <vt:variant>
        <vt:i4>2949151</vt:i4>
      </vt:variant>
      <vt:variant>
        <vt:i4>27</vt:i4>
      </vt:variant>
      <vt:variant>
        <vt:i4>0</vt:i4>
      </vt:variant>
      <vt:variant>
        <vt:i4>5</vt:i4>
      </vt:variant>
      <vt:variant>
        <vt:lpwstr>r_mtr_321_13.doc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l_1429_10.doc</vt:lpwstr>
      </vt:variant>
      <vt:variant>
        <vt:lpwstr/>
      </vt:variant>
      <vt:variant>
        <vt:i4>1572942</vt:i4>
      </vt:variant>
      <vt:variant>
        <vt:i4>21</vt:i4>
      </vt:variant>
      <vt:variant>
        <vt:i4>0</vt:i4>
      </vt:variant>
      <vt:variant>
        <vt:i4>5</vt:i4>
      </vt:variant>
      <vt:variant>
        <vt:lpwstr>dr_1376_14.doc</vt:lpwstr>
      </vt:variant>
      <vt:variant>
        <vt:lpwstr/>
      </vt:variant>
      <vt:variant>
        <vt:i4>589936</vt:i4>
      </vt:variant>
      <vt:variant>
        <vt:i4>18</vt:i4>
      </vt:variant>
      <vt:variant>
        <vt:i4>0</vt:i4>
      </vt:variant>
      <vt:variant>
        <vt:i4>5</vt:i4>
      </vt:variant>
      <vt:variant>
        <vt:lpwstr>r_mtr_4277_21.pdf</vt:lpwstr>
      </vt:variant>
      <vt:variant>
        <vt:lpwstr/>
      </vt:variant>
      <vt:variant>
        <vt:i4>262146</vt:i4>
      </vt:variant>
      <vt:variant>
        <vt:i4>15</vt:i4>
      </vt:variant>
      <vt:variant>
        <vt:i4>0</vt:i4>
      </vt:variant>
      <vt:variant>
        <vt:i4>5</vt:i4>
      </vt:variant>
      <vt:variant>
        <vt:lpwstr>dr_472_15.doc</vt:lpwstr>
      </vt:variant>
      <vt:variant>
        <vt:lpwstr/>
      </vt:variant>
      <vt:variant>
        <vt:i4>262146</vt:i4>
      </vt:variant>
      <vt:variant>
        <vt:i4>12</vt:i4>
      </vt:variant>
      <vt:variant>
        <vt:i4>0</vt:i4>
      </vt:variant>
      <vt:variant>
        <vt:i4>5</vt:i4>
      </vt:variant>
      <vt:variant>
        <vt:lpwstr>dr_472_15.doc</vt:lpwstr>
      </vt:variant>
      <vt:variant>
        <vt:lpwstr/>
      </vt:variant>
      <vt:variant>
        <vt:i4>1703946</vt:i4>
      </vt:variant>
      <vt:variant>
        <vt:i4>9</vt:i4>
      </vt:variant>
      <vt:variant>
        <vt:i4>0</vt:i4>
      </vt:variant>
      <vt:variant>
        <vt:i4>5</vt:i4>
      </vt:variant>
      <vt:variant>
        <vt:lpwstr>../juri/st_572_17.doc</vt:lpwstr>
      </vt:variant>
      <vt:variant>
        <vt:lpwstr/>
      </vt:variant>
      <vt:variant>
        <vt:i4>5963827</vt:i4>
      </vt:variant>
      <vt:variant>
        <vt:i4>6</vt:i4>
      </vt:variant>
      <vt:variant>
        <vt:i4>0</vt:i4>
      </vt:variant>
      <vt:variant>
        <vt:i4>5</vt:i4>
      </vt:variant>
      <vt:variant>
        <vt:lpwstr>http://www.nuevalegislacion.com/files/susc/cdj/conc/r_mtr_3455_21.doc</vt:lpwstr>
      </vt:variant>
      <vt:variant>
        <vt:lpwstr/>
      </vt:variant>
      <vt:variant>
        <vt:i4>2621464</vt:i4>
      </vt:variant>
      <vt:variant>
        <vt:i4>3</vt:i4>
      </vt:variant>
      <vt:variant>
        <vt:i4>0</vt:i4>
      </vt:variant>
      <vt:variant>
        <vt:i4>5</vt:i4>
      </vt:variant>
      <vt:variant>
        <vt:lpwstr>r_mtr_345_20.doc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http://www.nuevalegislacion.com/files/susc/cdj/conc/r_mtr_3455_21.doc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cp:lastModifiedBy>Nueva Legislacion</cp:lastModifiedBy>
  <cp:revision>2</cp:revision>
  <dcterms:created xsi:type="dcterms:W3CDTF">2024-01-17T13:29:00Z</dcterms:created>
  <dcterms:modified xsi:type="dcterms:W3CDTF">2024-01-17T13:29:00Z</dcterms:modified>
</cp:coreProperties>
</file>