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A371D" w14:textId="77777777" w:rsidR="00040448" w:rsidRPr="00F53530" w:rsidRDefault="00F53530" w:rsidP="00C44821">
      <w:pPr>
        <w:spacing w:after="0" w:line="240" w:lineRule="auto"/>
        <w:jc w:val="center"/>
        <w:rPr>
          <w:rFonts w:ascii="Times New Roman" w:hAnsi="Times New Roman"/>
          <w:b/>
          <w:bCs/>
        </w:rPr>
      </w:pPr>
      <w:r w:rsidRPr="00F53530">
        <w:rPr>
          <w:rFonts w:ascii="Times New Roman" w:hAnsi="Times New Roman"/>
          <w:b/>
          <w:bCs/>
        </w:rPr>
        <w:t>LEY 2010 DE 27 DE DICIEMBRE DE 2019</w:t>
      </w:r>
    </w:p>
    <w:p w14:paraId="045A371E" w14:textId="77777777" w:rsidR="00F53530" w:rsidRPr="00F53530" w:rsidRDefault="00040448" w:rsidP="00C44821">
      <w:pPr>
        <w:spacing w:after="0" w:line="240" w:lineRule="auto"/>
        <w:jc w:val="center"/>
        <w:rPr>
          <w:rFonts w:ascii="Times New Roman" w:hAnsi="Times New Roman"/>
          <w:b/>
          <w:bCs/>
        </w:rPr>
      </w:pPr>
      <w:r w:rsidRPr="00F53530">
        <w:rPr>
          <w:rFonts w:ascii="Times New Roman" w:hAnsi="Times New Roman"/>
          <w:b/>
          <w:bCs/>
        </w:rPr>
        <w:t>Diario Oficial No. 51.179 de 27 de diciembre 2019</w:t>
      </w:r>
    </w:p>
    <w:p w14:paraId="045A371F" w14:textId="77777777" w:rsidR="00F53530" w:rsidRPr="00F53530" w:rsidRDefault="00040448" w:rsidP="00C44821">
      <w:pPr>
        <w:spacing w:before="240" w:after="240" w:line="240" w:lineRule="auto"/>
        <w:jc w:val="center"/>
        <w:rPr>
          <w:rFonts w:ascii="Times New Roman" w:hAnsi="Times New Roman"/>
          <w:b/>
          <w:bCs/>
        </w:rPr>
      </w:pPr>
      <w:r w:rsidRPr="00F53530">
        <w:rPr>
          <w:rFonts w:ascii="Times New Roman" w:hAnsi="Times New Roman"/>
          <w:b/>
          <w:bCs/>
        </w:rPr>
        <w:t>PODER PÚBLICO - RAMA LEGISLATIVA</w:t>
      </w:r>
    </w:p>
    <w:p w14:paraId="045A3720" w14:textId="79A32C43" w:rsidR="00040448" w:rsidRPr="00F53530" w:rsidRDefault="00040448" w:rsidP="00C44821">
      <w:pPr>
        <w:spacing w:before="240" w:after="240" w:line="240" w:lineRule="auto"/>
        <w:jc w:val="center"/>
        <w:rPr>
          <w:rFonts w:ascii="Times New Roman" w:hAnsi="Times New Roman"/>
          <w:b/>
          <w:bCs/>
        </w:rPr>
      </w:pPr>
      <w:r w:rsidRPr="00F53530">
        <w:rPr>
          <w:rFonts w:ascii="Times New Roman" w:hAnsi="Times New Roman"/>
          <w:b/>
          <w:bCs/>
        </w:rPr>
        <w:t xml:space="preserve">Por medio de la cual se adoptan normas para la promoción del crecimiento económico, el empleo, la inversión, el fortalecimiento de las finanzas públicas y la progresividad, equidad y eficiencia del sistema tributario, de acuerdo con los objetivos que sobre la materia impulsaron la </w:t>
      </w:r>
      <w:hyperlink r:id="rId8" w:history="1">
        <w:r w:rsidRPr="00FB68BE">
          <w:rPr>
            <w:rStyle w:val="Hipervnculo"/>
            <w:rFonts w:ascii="Times New Roman" w:hAnsi="Times New Roman"/>
            <w:b/>
            <w:bCs/>
          </w:rPr>
          <w:t>Ley 1943 de 2018</w:t>
        </w:r>
      </w:hyperlink>
      <w:r w:rsidRPr="00F53530">
        <w:rPr>
          <w:rFonts w:ascii="Times New Roman" w:hAnsi="Times New Roman"/>
          <w:b/>
          <w:bCs/>
        </w:rPr>
        <w:t xml:space="preserve"> y se dictan otras disposiciones.</w:t>
      </w:r>
    </w:p>
    <w:p w14:paraId="045A3721" w14:textId="77777777" w:rsidR="00040448" w:rsidRPr="00F53530" w:rsidRDefault="00040448" w:rsidP="00C44821">
      <w:pPr>
        <w:spacing w:before="240" w:after="240" w:line="240" w:lineRule="auto"/>
        <w:jc w:val="center"/>
        <w:rPr>
          <w:rFonts w:ascii="Times New Roman" w:hAnsi="Times New Roman"/>
          <w:b/>
          <w:bCs/>
        </w:rPr>
      </w:pPr>
      <w:r w:rsidRPr="00F53530">
        <w:rPr>
          <w:rFonts w:ascii="Times New Roman" w:hAnsi="Times New Roman"/>
          <w:b/>
          <w:bCs/>
        </w:rPr>
        <w:t>EL CONGRESO DE COLOMBIA</w:t>
      </w:r>
    </w:p>
    <w:p w14:paraId="045A3722" w14:textId="77777777" w:rsidR="00040448" w:rsidRPr="00F53530" w:rsidRDefault="00040448" w:rsidP="00C44821">
      <w:pPr>
        <w:spacing w:before="240" w:after="240" w:line="240" w:lineRule="auto"/>
        <w:jc w:val="center"/>
        <w:rPr>
          <w:rFonts w:ascii="Times New Roman" w:hAnsi="Times New Roman"/>
          <w:b/>
          <w:bCs/>
        </w:rPr>
      </w:pPr>
      <w:r w:rsidRPr="00F53530">
        <w:rPr>
          <w:rFonts w:ascii="Times New Roman" w:hAnsi="Times New Roman"/>
          <w:b/>
          <w:bCs/>
        </w:rPr>
        <w:t>DECRETA:</w:t>
      </w:r>
    </w:p>
    <w:p w14:paraId="045A3723" w14:textId="77777777" w:rsidR="00F53530" w:rsidRPr="00F53530" w:rsidRDefault="00040448" w:rsidP="00C44821">
      <w:pPr>
        <w:pStyle w:val="Ttulo1"/>
      </w:pPr>
      <w:r w:rsidRPr="00F53530">
        <w:t>TÍTULO I</w:t>
      </w:r>
      <w:r w:rsidR="00F53530" w:rsidRPr="00F53530">
        <w:br/>
      </w:r>
      <w:r w:rsidRPr="00F53530">
        <w:t>IMPUESTO A LAS VENTAS E IMPUESTO AL CONSUMO</w:t>
      </w:r>
    </w:p>
    <w:p w14:paraId="045A3724" w14:textId="77777777" w:rsidR="00F53530" w:rsidRPr="00F53530" w:rsidRDefault="00040448" w:rsidP="00C44821">
      <w:pPr>
        <w:pStyle w:val="Ttulo2"/>
      </w:pPr>
      <w:r w:rsidRPr="00F53530">
        <w:t>CAPÍTULO I</w:t>
      </w:r>
      <w:r w:rsidR="00F53530" w:rsidRPr="00F53530">
        <w:br/>
      </w:r>
      <w:r w:rsidRPr="00F53530">
        <w:t>IMPUESTO SOBRE LAS VENTAS</w:t>
      </w:r>
    </w:p>
    <w:p w14:paraId="045A3725"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b/>
          <w:bCs/>
        </w:rPr>
        <w:t>ARTÍCULO 1.</w:t>
      </w:r>
      <w:r w:rsidR="00F53530" w:rsidRPr="00F53530">
        <w:rPr>
          <w:rFonts w:ascii="Times New Roman" w:hAnsi="Times New Roman"/>
          <w:b/>
          <w:bCs/>
        </w:rPr>
        <w:t xml:space="preserve"> </w:t>
      </w:r>
      <w:r w:rsidRPr="00F53530">
        <w:rPr>
          <w:rFonts w:ascii="Times New Roman" w:hAnsi="Times New Roman"/>
        </w:rPr>
        <w:t xml:space="preserve">Modifíquese el numeral 12 y el numeral 13, y adiciónense los numerales 17 y 18 al artículo 424 del </w:t>
      </w:r>
      <w:r w:rsidR="002E5AA8">
        <w:rPr>
          <w:rFonts w:ascii="Times New Roman" w:hAnsi="Times New Roman"/>
        </w:rPr>
        <w:t>*</w:t>
      </w:r>
      <w:r w:rsidRPr="00F53530">
        <w:rPr>
          <w:rFonts w:ascii="Times New Roman" w:hAnsi="Times New Roman"/>
        </w:rPr>
        <w:t>Estatuto Tributario, los cuales quedarán así:</w:t>
      </w:r>
    </w:p>
    <w:p w14:paraId="045A372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12. La venta de bienes inmuebles.</w:t>
      </w:r>
    </w:p>
    <w:p w14:paraId="045A372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13. El consumo humano y animal, vestuario, elementos de aseo y medicamentos para uso humano o veterinario, materiales de construcción que se introduzcan y comercialicen a los departamentos de Guainía, Guaviare, Vaupés y Vichada, siempre y cuando se destinen exclusivamente al consumo dentro del mismo departamento. El Gobierno nacional reglamentará la materia para garantizar que la exclusión del IVA se aplique en las ventas al consumidor final.</w:t>
      </w:r>
    </w:p>
    <w:p w14:paraId="045A372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17. Las bicicletas, bicicletas eléctricas, motos eléctricas, patines, monopatines, monopatines eléctricos, patinetas, y patinetas eléctricas, de hasta 50 UVT.</w:t>
      </w:r>
    </w:p>
    <w:p w14:paraId="045A3729" w14:textId="04CCF6D4"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18. La venta de los bienes facturados por los comerciantes definidos en el parágrafo 2 del artículo 34 de la </w:t>
      </w:r>
      <w:hyperlink r:id="rId9" w:history="1">
        <w:r w:rsidRPr="009E465C">
          <w:rPr>
            <w:rStyle w:val="Hipervnculo"/>
            <w:rFonts w:ascii="Times New Roman" w:hAnsi="Times New Roman"/>
            <w:i/>
          </w:rPr>
          <w:t>Ley 98 de 1993</w:t>
        </w:r>
      </w:hyperlink>
      <w:r w:rsidRPr="00F53530">
        <w:rPr>
          <w:rFonts w:ascii="Times New Roman" w:hAnsi="Times New Roman"/>
          <w:i/>
        </w:rPr>
        <w:t>.</w:t>
      </w:r>
    </w:p>
    <w:p w14:paraId="045A372A" w14:textId="77777777" w:rsidR="002E5AA8" w:rsidRDefault="002E5AA8"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2B" w14:textId="77777777" w:rsidR="00040448" w:rsidRPr="00F53530" w:rsidRDefault="00040448" w:rsidP="00C44821">
      <w:pPr>
        <w:spacing w:before="240" w:after="240" w:line="240" w:lineRule="auto"/>
        <w:jc w:val="both"/>
        <w:rPr>
          <w:rFonts w:ascii="Times New Roman" w:hAnsi="Times New Roman"/>
        </w:rPr>
      </w:pPr>
      <w:r w:rsidRPr="00C66927">
        <w:rPr>
          <w:rFonts w:ascii="Times New Roman" w:hAnsi="Times New Roman"/>
          <w:b/>
          <w:bCs/>
        </w:rPr>
        <w:t>ARTÍCULO 2.</w:t>
      </w:r>
      <w:r w:rsidR="00C66927">
        <w:rPr>
          <w:rFonts w:ascii="Times New Roman" w:hAnsi="Times New Roman"/>
        </w:rPr>
        <w:t xml:space="preserve"> </w:t>
      </w:r>
      <w:r w:rsidRPr="00F53530">
        <w:rPr>
          <w:rFonts w:ascii="Times New Roman" w:hAnsi="Times New Roman"/>
        </w:rPr>
        <w:t xml:space="preserve">Modifíquese el artículo 426 del </w:t>
      </w:r>
      <w:r w:rsidR="002E5AA8">
        <w:rPr>
          <w:rFonts w:ascii="Times New Roman" w:hAnsi="Times New Roman"/>
        </w:rPr>
        <w:t>*</w:t>
      </w:r>
      <w:r w:rsidRPr="00F53530">
        <w:rPr>
          <w:rFonts w:ascii="Times New Roman" w:hAnsi="Times New Roman"/>
        </w:rPr>
        <w:t>Estatuto Tributario, el cual quedará así:</w:t>
      </w:r>
    </w:p>
    <w:p w14:paraId="045A372C" w14:textId="77777777" w:rsidR="00040448" w:rsidRPr="00F53530" w:rsidRDefault="00040448" w:rsidP="00C44821">
      <w:pPr>
        <w:spacing w:before="240" w:after="240" w:line="240" w:lineRule="auto"/>
        <w:jc w:val="both"/>
        <w:rPr>
          <w:rFonts w:ascii="Times New Roman" w:hAnsi="Times New Roman"/>
          <w:i/>
        </w:rPr>
      </w:pPr>
      <w:r w:rsidRPr="00525498">
        <w:rPr>
          <w:rFonts w:ascii="Times New Roman" w:hAnsi="Times New Roman"/>
          <w:b/>
          <w:bCs/>
          <w:i/>
        </w:rPr>
        <w:t>Artículo 426</w:t>
      </w:r>
      <w:r w:rsidR="00280B8A" w:rsidRPr="00525498">
        <w:rPr>
          <w:rFonts w:ascii="Times New Roman" w:hAnsi="Times New Roman"/>
          <w:b/>
          <w:bCs/>
          <w:i/>
        </w:rPr>
        <w:t>.</w:t>
      </w:r>
      <w:r w:rsidRPr="00525498">
        <w:rPr>
          <w:rFonts w:ascii="Times New Roman" w:hAnsi="Times New Roman"/>
          <w:b/>
          <w:bCs/>
          <w:i/>
        </w:rPr>
        <w:t xml:space="preserve"> Servicios excluidos</w:t>
      </w:r>
      <w:r w:rsidRPr="00F53530">
        <w:rPr>
          <w:rFonts w:ascii="Times New Roman" w:hAnsi="Times New Roman"/>
          <w:i/>
        </w:rPr>
        <w:t>. Cuando en un establecimiento de comercio se lleven a cabo actividades de expendio de comidas y bebidas preparadas en restaurantes, cafeterías, autoservicios, heladerías, fruterías, pastelerías y panaderías, para consumo en el lugar, para ser llevadas por el comprador o entregadas a domicilio, los servicios de alimentación bajo contrato, incluyendo el servicio de catering, y el expendio de comidas y bebidas alcohólicas para consumo dentro bares, tabernas y discotecas, se entenderá que la venta se hace como servicio excluido del impuesto sobre las ventas (IVA) y está sujeta al impuesto nacional al consumo al que hace referencia el artículo 512-1 de este Estatuto.</w:t>
      </w:r>
    </w:p>
    <w:p w14:paraId="045A372D" w14:textId="77777777" w:rsidR="00040448" w:rsidRDefault="00280B8A" w:rsidP="00C44821">
      <w:pPr>
        <w:spacing w:before="240" w:after="240" w:line="240" w:lineRule="auto"/>
        <w:jc w:val="both"/>
        <w:rPr>
          <w:rFonts w:ascii="Times New Roman" w:hAnsi="Times New Roman"/>
          <w:i/>
        </w:rPr>
      </w:pPr>
      <w:r w:rsidRPr="00525498">
        <w:rPr>
          <w:rFonts w:ascii="Times New Roman" w:hAnsi="Times New Roman"/>
          <w:b/>
          <w:bCs/>
          <w:i/>
        </w:rPr>
        <w:lastRenderedPageBreak/>
        <w:t>PARÁGRAFO</w:t>
      </w:r>
      <w:r w:rsidRPr="00F53530">
        <w:rPr>
          <w:rFonts w:ascii="Times New Roman" w:hAnsi="Times New Roman"/>
          <w:i/>
        </w:rPr>
        <w:t xml:space="preserve">. </w:t>
      </w:r>
      <w:r w:rsidR="00040448" w:rsidRPr="00F53530">
        <w:rPr>
          <w:rFonts w:ascii="Times New Roman" w:hAnsi="Times New Roman"/>
          <w:i/>
        </w:rPr>
        <w:t>El presente artículo no aplica para los contribuyentes que desarrollen contratos de franquicia, los cuales se encuentran sometidos al impuesto sobre las ventas (IVA).</w:t>
      </w:r>
    </w:p>
    <w:p w14:paraId="045A372E" w14:textId="2B21AE93" w:rsidR="00292A38" w:rsidRPr="00292A38" w:rsidRDefault="00292A38" w:rsidP="00292A38">
      <w:pPr>
        <w:numPr>
          <w:ilvl w:val="0"/>
          <w:numId w:val="24"/>
        </w:numPr>
        <w:spacing w:before="240" w:after="240" w:line="240" w:lineRule="auto"/>
        <w:jc w:val="both"/>
        <w:rPr>
          <w:rFonts w:ascii="Times New Roman" w:hAnsi="Times New Roman"/>
          <w:iCs/>
          <w:highlight w:val="cyan"/>
        </w:rPr>
      </w:pPr>
      <w:bookmarkStart w:id="0" w:name="_Hlk153379604"/>
      <w:r w:rsidRPr="00292A38">
        <w:rPr>
          <w:rFonts w:ascii="Times New Roman" w:hAnsi="Times New Roman"/>
          <w:iCs/>
          <w:highlight w:val="cyan"/>
        </w:rPr>
        <w:t xml:space="preserve">Parágrafo del Artículo 426 del Estatuto Tributario declarado EXEQUIBLE por la Corte Constitucional mediante </w:t>
      </w:r>
      <w:hyperlink r:id="rId10" w:history="1">
        <w:r w:rsidRPr="00292A38">
          <w:rPr>
            <w:rStyle w:val="Hipervnculo"/>
            <w:rFonts w:ascii="Times New Roman" w:hAnsi="Times New Roman"/>
            <w:iCs/>
            <w:highlight w:val="cyan"/>
          </w:rPr>
          <w:t>Sentencia C-503 de 21 de noviembre de 2023</w:t>
        </w:r>
      </w:hyperlink>
      <w:r>
        <w:rPr>
          <w:rFonts w:ascii="Times New Roman" w:hAnsi="Times New Roman"/>
          <w:iCs/>
          <w:highlight w:val="cyan"/>
        </w:rPr>
        <w:t>,</w:t>
      </w:r>
      <w:r w:rsidRPr="00292A38">
        <w:rPr>
          <w:rFonts w:ascii="Times New Roman" w:hAnsi="Times New Roman"/>
          <w:iCs/>
          <w:highlight w:val="cyan"/>
        </w:rPr>
        <w:t xml:space="preserve"> Magistrado Ponente Dra. Paola Andrea Meneses Mosquera. </w:t>
      </w:r>
    </w:p>
    <w:bookmarkEnd w:id="0"/>
    <w:p w14:paraId="045A372F" w14:textId="77777777" w:rsidR="002E5AA8" w:rsidRDefault="002E5AA8"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30" w14:textId="77777777" w:rsidR="00040448" w:rsidRPr="00F53530" w:rsidRDefault="00040448" w:rsidP="00C44821">
      <w:pPr>
        <w:spacing w:before="240" w:after="240" w:line="240" w:lineRule="auto"/>
        <w:jc w:val="both"/>
        <w:rPr>
          <w:rFonts w:ascii="Times New Roman" w:hAnsi="Times New Roman"/>
        </w:rPr>
      </w:pPr>
      <w:r w:rsidRPr="00C66927">
        <w:rPr>
          <w:rFonts w:ascii="Times New Roman" w:hAnsi="Times New Roman"/>
          <w:b/>
          <w:bCs/>
        </w:rPr>
        <w:t>ARTÍCULO 3.</w:t>
      </w:r>
      <w:r w:rsidR="00C66927" w:rsidRPr="00C66927">
        <w:rPr>
          <w:rFonts w:ascii="Times New Roman" w:hAnsi="Times New Roman"/>
          <w:b/>
          <w:bCs/>
        </w:rPr>
        <w:t xml:space="preserve"> </w:t>
      </w:r>
      <w:r w:rsidRPr="00F53530">
        <w:rPr>
          <w:rFonts w:ascii="Times New Roman" w:hAnsi="Times New Roman"/>
        </w:rPr>
        <w:t xml:space="preserve">Modifíquese el literal j) del artículo 428 del </w:t>
      </w:r>
      <w:r w:rsidR="002E5AA8">
        <w:rPr>
          <w:rFonts w:ascii="Times New Roman" w:hAnsi="Times New Roman"/>
        </w:rPr>
        <w:t>*</w:t>
      </w:r>
      <w:r w:rsidRPr="00F53530">
        <w:rPr>
          <w:rFonts w:ascii="Times New Roman" w:hAnsi="Times New Roman"/>
        </w:rPr>
        <w:t>Estatuto Tributario, el cual quedará así:</w:t>
      </w:r>
    </w:p>
    <w:p w14:paraId="045A3731"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j) La importación de bienes objeto de tráfico postal, envíos urgentes o envíos de entrega rápida, procedente del resto del mundo y cuyo valor no exceda de doscientos dólares USD$200. A este literal no le será aplicable lo previsto en el parágrafo 3 de este artículo.</w:t>
      </w:r>
    </w:p>
    <w:p w14:paraId="045A3732" w14:textId="77777777" w:rsidR="002E5AA8" w:rsidRDefault="002E5AA8"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33" w14:textId="77777777" w:rsidR="00040448" w:rsidRPr="00F53530" w:rsidRDefault="00040448" w:rsidP="00C44821">
      <w:pPr>
        <w:spacing w:before="240" w:after="240" w:line="240" w:lineRule="auto"/>
        <w:jc w:val="both"/>
        <w:rPr>
          <w:rFonts w:ascii="Times New Roman" w:hAnsi="Times New Roman"/>
        </w:rPr>
      </w:pPr>
      <w:r w:rsidRPr="00C66927">
        <w:rPr>
          <w:rFonts w:ascii="Times New Roman" w:hAnsi="Times New Roman"/>
          <w:b/>
          <w:bCs/>
        </w:rPr>
        <w:t>ARTÍCULO 4.</w:t>
      </w:r>
      <w:r w:rsidR="00C66927" w:rsidRPr="00C66927">
        <w:rPr>
          <w:rFonts w:ascii="Times New Roman" w:hAnsi="Times New Roman"/>
          <w:b/>
          <w:bCs/>
        </w:rPr>
        <w:t xml:space="preserve"> </w:t>
      </w:r>
      <w:r w:rsidRPr="00F53530">
        <w:rPr>
          <w:rFonts w:ascii="Times New Roman" w:hAnsi="Times New Roman"/>
        </w:rPr>
        <w:t xml:space="preserve">Adiciónense el inciso 3 y el inciso 4 al parágrafo 2 y adiciónense los parágrafos 3, 4 y 5 al artículo 437 del </w:t>
      </w:r>
      <w:r w:rsidR="002E5AA8">
        <w:rPr>
          <w:rFonts w:ascii="Times New Roman" w:hAnsi="Times New Roman"/>
        </w:rPr>
        <w:t>*</w:t>
      </w:r>
      <w:r w:rsidRPr="00F53530">
        <w:rPr>
          <w:rFonts w:ascii="Times New Roman" w:hAnsi="Times New Roman"/>
        </w:rPr>
        <w:t>Estatuto Tributario, los cuales quedarán así:</w:t>
      </w:r>
    </w:p>
    <w:p w14:paraId="045A373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Estas declaraciones podrán presentarse mediante un formulario, que permitirá liquidar la obligación tributaria en dólares convertida a pesos colombianos a la Tasa de Cambio Representativa de Mercado (TRM) del día de la declaración y pago. Las declaraciones presentadas sin pago total no producirán efecto, sin necesidad de acto administrativo que así lo declare.</w:t>
      </w:r>
    </w:p>
    <w:p w14:paraId="045A373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prestadores de servicios desde el exterior, sin residencia fiscal en Colombia, no estarán obligados a expedir factura o documento equivalente por la prestación de los servicios electrónicos o digitales. Lo anterior sin perjuicio de las facultades de la Dirección de Impuestos y Aduanas Nacionales (DIAN) para establecer la obligación de facturar electrónicamente o de soportar las operaciones en un documento electrónico.</w:t>
      </w:r>
    </w:p>
    <w:p w14:paraId="045A3736" w14:textId="77777777" w:rsidR="00040448" w:rsidRPr="00F53530" w:rsidRDefault="00280B8A" w:rsidP="00C44821">
      <w:pPr>
        <w:spacing w:before="240" w:after="240" w:line="240" w:lineRule="auto"/>
        <w:jc w:val="both"/>
        <w:rPr>
          <w:rFonts w:ascii="Times New Roman" w:hAnsi="Times New Roman"/>
          <w:i/>
        </w:rPr>
      </w:pPr>
      <w:r w:rsidRPr="00525498">
        <w:rPr>
          <w:rFonts w:ascii="Times New Roman" w:hAnsi="Times New Roman"/>
          <w:b/>
          <w:bCs/>
          <w:i/>
        </w:rPr>
        <w:t>PARÁGRAFO 3.</w:t>
      </w:r>
      <w:r w:rsidRPr="00F53530">
        <w:rPr>
          <w:rFonts w:ascii="Times New Roman" w:hAnsi="Times New Roman"/>
          <w:i/>
        </w:rPr>
        <w:t xml:space="preserve"> </w:t>
      </w:r>
      <w:r w:rsidR="00040448" w:rsidRPr="00F53530">
        <w:rPr>
          <w:rFonts w:ascii="Times New Roman" w:hAnsi="Times New Roman"/>
          <w:i/>
        </w:rPr>
        <w:t>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14:paraId="045A373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Que en el año anterior o en el año en curso hubieren obtenido ingresos brutos totales provenientes de la actividad, inferiores a 3.500 UVT.</w:t>
      </w:r>
    </w:p>
    <w:p w14:paraId="045A373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Que no tengan más de un establecimiento de comercio, oficina, sede, local o negocio donde ejerzan su actividad.</w:t>
      </w:r>
    </w:p>
    <w:p w14:paraId="045A373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Que en el establecimiento de comercio, oficina, sede, local o negocio no se desarrollen actividades bajo franquicia, concesión, regalía, autorización o cualquier otro sistema que implique la explotación de intangibles.</w:t>
      </w:r>
    </w:p>
    <w:p w14:paraId="045A373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4. Que no sean usuarios aduaneros.</w:t>
      </w:r>
    </w:p>
    <w:p w14:paraId="045A373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5. Que no hayan celebrado en el año inmediatamente anterior ni en el año en curso contratos de venta de bienes y/o prestación de servicios gravados por valor individual, igual o superior a 3.500 UVT.</w:t>
      </w:r>
    </w:p>
    <w:p w14:paraId="045A373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6. Que el monto de sus consignaciones bancarias, depósitos o inversiones financieras durante el año anterior o durante el respectivo año, provenientes de actividades gravadas con el impuesto sobre las ventas (IVA), no supere la suma de 3.500 UVT.</w:t>
      </w:r>
    </w:p>
    <w:p w14:paraId="045A373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14:paraId="045A373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responsables del impuesto solo podrán solicitar su retiro del régimen cuando demuestren que en el año fiscal anterior se cumplieron, las condiciones establecidas en la presente disposición.</w:t>
      </w:r>
    </w:p>
    <w:p w14:paraId="045A373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Cuando los no responsables realicen operaciones con los responsables del impuesto deberán registrar en el Registro Único Tributario (RUT) su condición de tales y entregar copia del mismo al adquirente de los bienes o servicios, en los términos señalados en el reglamento.</w:t>
      </w:r>
    </w:p>
    <w:p w14:paraId="045A3740" w14:textId="77777777" w:rsidR="00040448" w:rsidRPr="00F53530" w:rsidRDefault="00040448" w:rsidP="00C44821">
      <w:pPr>
        <w:spacing w:before="240" w:after="240" w:line="240" w:lineRule="auto"/>
        <w:jc w:val="both"/>
        <w:rPr>
          <w:rFonts w:ascii="Times New Roman" w:hAnsi="Times New Roman"/>
          <w:i/>
        </w:rPr>
      </w:pPr>
      <w:r w:rsidRPr="00EA7FAB">
        <w:rPr>
          <w:rFonts w:ascii="Times New Roman" w:hAnsi="Times New Roman"/>
          <w:i/>
          <w:u w:val="single"/>
        </w:rPr>
        <w:t>Autorícese a la Dirección de Impuestos y Aduanas Nacionales (DIAN) para adoptar medidas tendientes al control de la evasión, para lo cual podrá imponer obligaciones formales a los sujetos no responsables a que alude la presente disposición</w:t>
      </w:r>
      <w:r w:rsidRPr="00F53530">
        <w:rPr>
          <w:rFonts w:ascii="Times New Roman" w:hAnsi="Times New Roman"/>
          <w:i/>
        </w:rPr>
        <w:t>. De conformidad con el artículo 869 y siguientes de este Estatuto, la Dirección de Impuestos y Aduanas Nacionales (DIAN) tiene la facultad de desconocer toda operación o serie de operaciones cuyo propósito sea inaplicar la presente disposición, como: (i) la cancelación injustificada de establecimientos de comercio para abrir uno nuevo con el mismo objeto o actividad y (ii) el fraccionamiento de la actividad empresarial en varios miembros de una familia para evitar la inscripción del prestador de los bienes y servicios gravados en el régimen de responsabilidad del impuesto sobre las ventas (IVA).</w:t>
      </w:r>
    </w:p>
    <w:p w14:paraId="045A374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efectos de la inclusión de oficio como responsable del impuesto sobre las ventas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14:paraId="045A3742" w14:textId="77777777" w:rsidR="00040448" w:rsidRPr="00F53530" w:rsidRDefault="00280B8A" w:rsidP="00C44821">
      <w:pPr>
        <w:spacing w:before="240" w:after="240" w:line="240" w:lineRule="auto"/>
        <w:jc w:val="both"/>
        <w:rPr>
          <w:rFonts w:ascii="Times New Roman" w:hAnsi="Times New Roman"/>
          <w:i/>
        </w:rPr>
      </w:pPr>
      <w:r w:rsidRPr="00525498">
        <w:rPr>
          <w:rFonts w:ascii="Times New Roman" w:hAnsi="Times New Roman"/>
          <w:b/>
          <w:bCs/>
          <w:i/>
        </w:rPr>
        <w:t>PARÁGRAFO 4.</w:t>
      </w:r>
      <w:r w:rsidRPr="00F53530">
        <w:rPr>
          <w:rFonts w:ascii="Times New Roman" w:hAnsi="Times New Roman"/>
          <w:i/>
        </w:rPr>
        <w:t xml:space="preserve"> </w:t>
      </w:r>
      <w:r w:rsidR="00040448" w:rsidRPr="00F53530">
        <w:rPr>
          <w:rFonts w:ascii="Times New Roman" w:hAnsi="Times New Roman"/>
          <w:i/>
        </w:rPr>
        <w:t>No serán responsables del impuesto sobre las ventas -- IVA los contribuyentes del impuesto unificado bajo el Régimen Simple de Tributación -SIMPLE cuando únicamente desarrollen una o más actividades establecidas en el numeral 1 del artículo 908 del Estatuto Tributario.</w:t>
      </w:r>
    </w:p>
    <w:p w14:paraId="045A3743" w14:textId="77777777" w:rsidR="00040448" w:rsidRDefault="00280B8A" w:rsidP="00C44821">
      <w:pPr>
        <w:spacing w:before="240" w:after="240" w:line="240" w:lineRule="auto"/>
        <w:jc w:val="both"/>
        <w:rPr>
          <w:rFonts w:ascii="Times New Roman" w:hAnsi="Times New Roman"/>
          <w:i/>
        </w:rPr>
      </w:pPr>
      <w:r w:rsidRPr="00525498">
        <w:rPr>
          <w:rFonts w:ascii="Times New Roman" w:hAnsi="Times New Roman"/>
          <w:b/>
          <w:bCs/>
          <w:i/>
        </w:rPr>
        <w:t>PARÁGRAFO 5.</w:t>
      </w:r>
      <w:r w:rsidRPr="00F53530">
        <w:rPr>
          <w:rFonts w:ascii="Times New Roman" w:hAnsi="Times New Roman"/>
          <w:i/>
        </w:rPr>
        <w:t xml:space="preserve"> </w:t>
      </w:r>
      <w:r w:rsidR="00040448" w:rsidRPr="00F53530">
        <w:rPr>
          <w:rFonts w:ascii="Times New Roman" w:hAnsi="Times New Roman"/>
          <w:i/>
        </w:rPr>
        <w:t>Los límites de que trata el parágrafo 3 de este artículo serán 4.000 UVT para aquellos prestadores de servicios personas naturales que derivan sus ingresos de contratos con el Estado.</w:t>
      </w:r>
    </w:p>
    <w:p w14:paraId="045A3744" w14:textId="77777777" w:rsidR="002E5AA8" w:rsidRPr="00F53530" w:rsidRDefault="002E5AA8"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45" w14:textId="62875466" w:rsidR="0065390A" w:rsidRPr="0065390A" w:rsidRDefault="0065390A" w:rsidP="0065390A">
      <w:pPr>
        <w:numPr>
          <w:ilvl w:val="0"/>
          <w:numId w:val="12"/>
        </w:numPr>
        <w:spacing w:before="240" w:after="240" w:line="240" w:lineRule="auto"/>
        <w:jc w:val="both"/>
        <w:rPr>
          <w:rFonts w:ascii="Times New Roman" w:hAnsi="Times New Roman"/>
          <w:bCs/>
          <w:highlight w:val="cyan"/>
        </w:rPr>
      </w:pPr>
      <w:r w:rsidRPr="0065390A">
        <w:rPr>
          <w:rFonts w:ascii="Times New Roman" w:hAnsi="Times New Roman"/>
          <w:bCs/>
          <w:highlight w:val="cyan"/>
        </w:rPr>
        <w:t xml:space="preserve">Aparte subrayado del inciso 3 del Parágrafo 2 del artículo 437 declarado EXEQUIBLE por la Corte Constitucional mediante </w:t>
      </w:r>
      <w:hyperlink r:id="rId11" w:history="1">
        <w:r w:rsidRPr="0065390A">
          <w:rPr>
            <w:rStyle w:val="Hipervnculo"/>
            <w:rFonts w:ascii="Times New Roman" w:hAnsi="Times New Roman"/>
            <w:bCs/>
            <w:highlight w:val="cyan"/>
          </w:rPr>
          <w:t>Sentencia C-203 de 23 de junio de 2021</w:t>
        </w:r>
      </w:hyperlink>
      <w:r w:rsidRPr="0065390A">
        <w:rPr>
          <w:rFonts w:ascii="Times New Roman" w:hAnsi="Times New Roman"/>
          <w:bCs/>
          <w:highlight w:val="cyan"/>
        </w:rPr>
        <w:t>, Magistrada Ponente Dra. Paola Andrea Meneses Mosquera.</w:t>
      </w:r>
    </w:p>
    <w:p w14:paraId="045A3746" w14:textId="371E346B" w:rsidR="00EA7FAB" w:rsidRPr="003E1A3F" w:rsidRDefault="00EA7FAB" w:rsidP="0065390A">
      <w:pPr>
        <w:numPr>
          <w:ilvl w:val="0"/>
          <w:numId w:val="12"/>
        </w:numPr>
        <w:spacing w:before="240" w:after="240" w:line="240" w:lineRule="auto"/>
        <w:jc w:val="both"/>
        <w:rPr>
          <w:rFonts w:ascii="Times New Roman" w:hAnsi="Times New Roman"/>
          <w:bCs/>
          <w:highlight w:val="cyan"/>
        </w:rPr>
      </w:pPr>
      <w:r w:rsidRPr="003E1A3F">
        <w:rPr>
          <w:rFonts w:ascii="Times New Roman" w:hAnsi="Times New Roman"/>
          <w:bCs/>
          <w:highlight w:val="cyan"/>
        </w:rPr>
        <w:lastRenderedPageBreak/>
        <w:t>Aparte subrayado del inciso 5 del Parágrafo 3 del art</w:t>
      </w:r>
      <w:r w:rsidR="003E1A3F" w:rsidRPr="003E1A3F">
        <w:rPr>
          <w:rFonts w:ascii="Times New Roman" w:hAnsi="Times New Roman"/>
          <w:bCs/>
          <w:highlight w:val="cyan"/>
        </w:rPr>
        <w:t xml:space="preserve">ículo 4 declarado EXEQUIBLE por la Corte Constitucional mediante </w:t>
      </w:r>
      <w:hyperlink r:id="rId12" w:history="1">
        <w:r w:rsidR="003E1A3F" w:rsidRPr="00961FD8">
          <w:rPr>
            <w:rStyle w:val="Hipervnculo"/>
            <w:rFonts w:ascii="Times New Roman" w:hAnsi="Times New Roman"/>
            <w:bCs/>
            <w:highlight w:val="cyan"/>
          </w:rPr>
          <w:t>Sentencia C-040 de 25 de febrero de 2021</w:t>
        </w:r>
      </w:hyperlink>
      <w:r w:rsidR="003E1A3F" w:rsidRPr="003E1A3F">
        <w:rPr>
          <w:rFonts w:ascii="Times New Roman" w:hAnsi="Times New Roman"/>
          <w:bCs/>
          <w:highlight w:val="cyan"/>
        </w:rPr>
        <w:t>, Magistrado Ponente Dr. Antonio José Lizarazo Ocampo.</w:t>
      </w:r>
    </w:p>
    <w:p w14:paraId="045A3747" w14:textId="77777777" w:rsidR="00040448" w:rsidRPr="00F53530" w:rsidRDefault="00040448" w:rsidP="00C44821">
      <w:pPr>
        <w:spacing w:before="240" w:after="240" w:line="240" w:lineRule="auto"/>
        <w:jc w:val="both"/>
        <w:rPr>
          <w:rFonts w:ascii="Times New Roman" w:hAnsi="Times New Roman"/>
        </w:rPr>
      </w:pPr>
      <w:r w:rsidRPr="00C66927">
        <w:rPr>
          <w:rFonts w:ascii="Times New Roman" w:hAnsi="Times New Roman"/>
          <w:b/>
          <w:bCs/>
        </w:rPr>
        <w:t>ARTÍCULO 5.</w:t>
      </w:r>
      <w:r w:rsidR="00C66927">
        <w:rPr>
          <w:rFonts w:ascii="Times New Roman" w:hAnsi="Times New Roman"/>
        </w:rPr>
        <w:t xml:space="preserve"> </w:t>
      </w:r>
      <w:r w:rsidRPr="00F53530">
        <w:rPr>
          <w:rFonts w:ascii="Times New Roman" w:hAnsi="Times New Roman"/>
        </w:rPr>
        <w:t xml:space="preserve">Modifíquense el inciso segundo y el parágrafo 1 del artículo 437-1 del </w:t>
      </w:r>
      <w:r w:rsidR="002E5AA8">
        <w:rPr>
          <w:rFonts w:ascii="Times New Roman" w:hAnsi="Times New Roman"/>
        </w:rPr>
        <w:t>*</w:t>
      </w:r>
      <w:r w:rsidRPr="00F53530">
        <w:rPr>
          <w:rFonts w:ascii="Times New Roman" w:hAnsi="Times New Roman"/>
        </w:rPr>
        <w:t>Estatuto Tributario, los cuales quedarán así:</w:t>
      </w:r>
    </w:p>
    <w:p w14:paraId="045A374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retención podrá ser hasta del cincuenta por ciento (50%) del valor del impuesto, de acuerdo con lo que determine el Gobierno nacional. En aquellos pagos en los que no exista una retención en la fuente especial establecida mediante decreto reglamentario, será aplicable la tarifa del quince por ciento (15%).</w:t>
      </w:r>
    </w:p>
    <w:p w14:paraId="045A3749" w14:textId="77777777" w:rsidR="00040448" w:rsidRDefault="00280B8A" w:rsidP="00C44821">
      <w:pPr>
        <w:spacing w:before="240" w:after="240" w:line="240" w:lineRule="auto"/>
        <w:jc w:val="both"/>
        <w:rPr>
          <w:rFonts w:ascii="Times New Roman" w:hAnsi="Times New Roman"/>
          <w:i/>
        </w:rPr>
      </w:pPr>
      <w:r w:rsidRPr="00525498">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En el caso de las prestaciones de servicios gravados a que se refieren los numerales 3 y 8 del artículo 437-2 de este Estatuto, la retención será equivalente al ciento por ciento (100%) del valor del impuesto.</w:t>
      </w:r>
    </w:p>
    <w:p w14:paraId="045A374A" w14:textId="77777777" w:rsidR="002E5AA8" w:rsidRPr="00F53530" w:rsidRDefault="002E5AA8"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4B" w14:textId="77777777" w:rsidR="00040448" w:rsidRPr="00F53530" w:rsidRDefault="00040448" w:rsidP="00C44821">
      <w:pPr>
        <w:spacing w:before="240" w:after="240" w:line="240" w:lineRule="auto"/>
        <w:jc w:val="both"/>
        <w:rPr>
          <w:rFonts w:ascii="Times New Roman" w:hAnsi="Times New Roman"/>
        </w:rPr>
      </w:pPr>
      <w:r w:rsidRPr="00C66927">
        <w:rPr>
          <w:rFonts w:ascii="Times New Roman" w:hAnsi="Times New Roman"/>
          <w:b/>
          <w:bCs/>
        </w:rPr>
        <w:t>ARTÍCULO 6.</w:t>
      </w:r>
      <w:r w:rsidR="00C66927">
        <w:rPr>
          <w:rFonts w:ascii="Times New Roman" w:hAnsi="Times New Roman"/>
        </w:rPr>
        <w:t xml:space="preserve"> </w:t>
      </w:r>
      <w:r w:rsidRPr="00F53530">
        <w:rPr>
          <w:rFonts w:ascii="Times New Roman" w:hAnsi="Times New Roman"/>
        </w:rPr>
        <w:t xml:space="preserve">Adiciónense el numeral 9 y el parágrafo 3, y modifíquese el numeral 8 del artículo 437-2 del </w:t>
      </w:r>
      <w:r w:rsidR="002E5AA8">
        <w:rPr>
          <w:rFonts w:ascii="Times New Roman" w:hAnsi="Times New Roman"/>
        </w:rPr>
        <w:t>*</w:t>
      </w:r>
      <w:r w:rsidRPr="00F53530">
        <w:rPr>
          <w:rFonts w:ascii="Times New Roman" w:hAnsi="Times New Roman"/>
        </w:rPr>
        <w:t>Estatuto Tributario, los cuales quedarán así:</w:t>
      </w:r>
    </w:p>
    <w:p w14:paraId="045A374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8. Las entidades emisoras de tarjetas crédito y débito, los vendedores de tarjetas prepago, los recaudadores de efectivo a cargo de terceros, y los demás que designe la Dirección de Impuestos y Aduanas Nacionales (DIAN) en el momento del correspondiente pago o abono en cuenta a los prestadores desde el exterior, de los siguientes servicios electrónicos o digitales, cuando el proveedor del servicio se acoja voluntariamente a este sistema alternativo de pago del impuesto:</w:t>
      </w:r>
    </w:p>
    <w:p w14:paraId="045A374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Suministro de servicios audiovisuales (entre otros, de música, videos, películas y juegos de cualquier tipo, así como la radiodifusión de cualquier tipo de evento).</w:t>
      </w:r>
    </w:p>
    <w:p w14:paraId="045A374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Servicios prestados a través de plataformas digitales.</w:t>
      </w:r>
    </w:p>
    <w:p w14:paraId="045A374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Suministro de servicios de publicidad online.</w:t>
      </w:r>
    </w:p>
    <w:p w14:paraId="045A375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d) Suministro de enseñanza o entrenamiento a distancia.</w:t>
      </w:r>
    </w:p>
    <w:p w14:paraId="045A375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 Suministro de derechos de uso o explotación de intangibles.</w:t>
      </w:r>
    </w:p>
    <w:p w14:paraId="045A375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f) Otros servicios electrónicos o digitales con destino a usuarios ubicados en Colombia.</w:t>
      </w:r>
    </w:p>
    <w:p w14:paraId="045A375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9. Los responsables del impuesto sobre las ventas (IVA) cuando adquieran bienes corporales muebles o servicios gravados, de personas que se encuentren registradas como contribuyentes del impuesto unificado bajo el Régimen Simple de Tributación -SIMPLE.</w:t>
      </w:r>
    </w:p>
    <w:p w14:paraId="045A3754" w14:textId="77777777" w:rsidR="00040448" w:rsidRPr="00F53530" w:rsidRDefault="00280B8A" w:rsidP="00C44821">
      <w:pPr>
        <w:spacing w:before="240" w:after="240" w:line="240" w:lineRule="auto"/>
        <w:jc w:val="both"/>
        <w:rPr>
          <w:rFonts w:ascii="Times New Roman" w:hAnsi="Times New Roman"/>
          <w:i/>
        </w:rPr>
      </w:pPr>
      <w:r w:rsidRPr="00525498">
        <w:rPr>
          <w:rFonts w:ascii="Times New Roman" w:hAnsi="Times New Roman"/>
          <w:b/>
          <w:bCs/>
          <w:i/>
        </w:rPr>
        <w:t>PARÁGRAFO 3.</w:t>
      </w:r>
      <w:r w:rsidRPr="00F53530">
        <w:rPr>
          <w:rFonts w:ascii="Times New Roman" w:hAnsi="Times New Roman"/>
          <w:i/>
        </w:rPr>
        <w:t xml:space="preserve"> </w:t>
      </w:r>
      <w:r w:rsidR="00040448" w:rsidRPr="00F53530">
        <w:rPr>
          <w:rFonts w:ascii="Times New Roman" w:hAnsi="Times New Roman"/>
          <w:i/>
        </w:rPr>
        <w:t>Los prestadores de servicios electrónicos o digitales podrán acogerse voluntariamente al sistema de retención previsto en el numeral 8 de este artículo. La Dirección de Impuestos y Aduanas Nacionales (DIAN) mediante resolución indicará de manera taxativa el listado de prestadores desde el exterior a los que deberá practicárseles la retención prevista en el numeral 8. Lo anterior solo será aplicable a los prestadores de servicios electrónicos o digitales que:</w:t>
      </w:r>
    </w:p>
    <w:p w14:paraId="045A375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1. Realicen de forma exclusiva una o varias actividades de las enunciadas en el numeral 8 de este artículo y las mismas se presten a usuarios en Colombia;</w:t>
      </w:r>
    </w:p>
    <w:p w14:paraId="045A375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No se hayan acogido al sistema de declaración bimestral del impuesto sobre las ventas (IVA) y se acojan voluntariamente a este sistema alternativo de pago del impuesto; y</w:t>
      </w:r>
    </w:p>
    <w:p w14:paraId="045A3757"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3. El valor facturado, cobrado y/o exigido a los usuarios ubicados en Colombia corresponda a la base gravable del impuesto sobre las ventas (IVA) por los servicios electrónicos o digitales.</w:t>
      </w:r>
    </w:p>
    <w:p w14:paraId="045A3758" w14:textId="77777777" w:rsidR="002E5AA8" w:rsidRPr="00F53530" w:rsidRDefault="002E5AA8"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59" w14:textId="77777777" w:rsidR="00040448" w:rsidRPr="00F53530" w:rsidRDefault="00040448" w:rsidP="00C44821">
      <w:pPr>
        <w:spacing w:before="240" w:after="240" w:line="240" w:lineRule="auto"/>
        <w:jc w:val="both"/>
        <w:rPr>
          <w:rFonts w:ascii="Times New Roman" w:hAnsi="Times New Roman"/>
        </w:rPr>
      </w:pPr>
      <w:r w:rsidRPr="00882112">
        <w:rPr>
          <w:rFonts w:ascii="Times New Roman" w:hAnsi="Times New Roman"/>
          <w:b/>
          <w:bCs/>
        </w:rPr>
        <w:t>ARTÍCULO 7</w:t>
      </w:r>
      <w:r w:rsidRPr="00F53530">
        <w:rPr>
          <w:rFonts w:ascii="Times New Roman" w:hAnsi="Times New Roman"/>
        </w:rPr>
        <w:t>.</w:t>
      </w:r>
      <w:r w:rsidR="00882112">
        <w:rPr>
          <w:rFonts w:ascii="Times New Roman" w:hAnsi="Times New Roman"/>
        </w:rPr>
        <w:t xml:space="preserve"> </w:t>
      </w:r>
      <w:r w:rsidRPr="00F53530">
        <w:rPr>
          <w:rFonts w:ascii="Times New Roman" w:hAnsi="Times New Roman"/>
        </w:rPr>
        <w:t xml:space="preserve">Modifíquese el artículo 458 del </w:t>
      </w:r>
      <w:r w:rsidR="002E5AA8">
        <w:rPr>
          <w:rFonts w:ascii="Times New Roman" w:hAnsi="Times New Roman"/>
        </w:rPr>
        <w:t>*</w:t>
      </w:r>
      <w:r w:rsidRPr="00F53530">
        <w:rPr>
          <w:rFonts w:ascii="Times New Roman" w:hAnsi="Times New Roman"/>
        </w:rPr>
        <w:t>Estatuto Tributario, el cual quedará así:</w:t>
      </w:r>
    </w:p>
    <w:p w14:paraId="045A375A" w14:textId="77777777" w:rsidR="00040448" w:rsidRDefault="00040448" w:rsidP="00C44821">
      <w:pPr>
        <w:spacing w:before="240" w:after="240" w:line="240" w:lineRule="auto"/>
        <w:jc w:val="both"/>
        <w:rPr>
          <w:rFonts w:ascii="Times New Roman" w:hAnsi="Times New Roman"/>
          <w:i/>
        </w:rPr>
      </w:pPr>
      <w:r w:rsidRPr="00525498">
        <w:rPr>
          <w:rFonts w:ascii="Times New Roman" w:hAnsi="Times New Roman"/>
          <w:b/>
          <w:bCs/>
          <w:i/>
        </w:rPr>
        <w:t>Artículo 458</w:t>
      </w:r>
      <w:r w:rsidR="00280B8A" w:rsidRPr="00525498">
        <w:rPr>
          <w:rFonts w:ascii="Times New Roman" w:hAnsi="Times New Roman"/>
          <w:b/>
          <w:bCs/>
          <w:i/>
        </w:rPr>
        <w:t>.</w:t>
      </w:r>
      <w:r w:rsidRPr="00525498">
        <w:rPr>
          <w:rFonts w:ascii="Times New Roman" w:hAnsi="Times New Roman"/>
          <w:b/>
          <w:bCs/>
          <w:i/>
        </w:rPr>
        <w:t xml:space="preserve"> Base gravable en los retiros de bienes.</w:t>
      </w:r>
      <w:r w:rsidRPr="00F53530">
        <w:rPr>
          <w:rFonts w:ascii="Times New Roman" w:hAnsi="Times New Roman"/>
          <w:i/>
        </w:rPr>
        <w:t xml:space="preserve"> En los retiros a que se refiere el literal b) del artículo 421 del </w:t>
      </w:r>
      <w:r w:rsidR="002E5AA8">
        <w:rPr>
          <w:rFonts w:ascii="Times New Roman" w:hAnsi="Times New Roman"/>
          <w:i/>
        </w:rPr>
        <w:t>*</w:t>
      </w:r>
      <w:r w:rsidRPr="00F53530">
        <w:rPr>
          <w:rFonts w:ascii="Times New Roman" w:hAnsi="Times New Roman"/>
          <w:i/>
        </w:rPr>
        <w:t>Estatuto Tributario, la base gravable será el valor comercial de los bienes.</w:t>
      </w:r>
    </w:p>
    <w:p w14:paraId="045A375B" w14:textId="77777777" w:rsidR="002E5AA8" w:rsidRPr="00F53530" w:rsidRDefault="002E5AA8"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5C" w14:textId="77777777" w:rsidR="00040448" w:rsidRPr="00882112" w:rsidRDefault="00040448" w:rsidP="00C44821">
      <w:pPr>
        <w:spacing w:before="240" w:after="240" w:line="240" w:lineRule="auto"/>
        <w:jc w:val="both"/>
        <w:rPr>
          <w:rFonts w:ascii="Times New Roman" w:hAnsi="Times New Roman"/>
          <w:u w:val="single"/>
        </w:rPr>
      </w:pPr>
      <w:r w:rsidRPr="00882112">
        <w:rPr>
          <w:rFonts w:ascii="Times New Roman" w:hAnsi="Times New Roman"/>
          <w:b/>
          <w:bCs/>
        </w:rPr>
        <w:t>ARTÍCULO 8.</w:t>
      </w:r>
      <w:r w:rsidR="00882112">
        <w:rPr>
          <w:rFonts w:ascii="Times New Roman" w:hAnsi="Times New Roman"/>
        </w:rPr>
        <w:t xml:space="preserve"> </w:t>
      </w:r>
      <w:r w:rsidRPr="00F53530">
        <w:rPr>
          <w:rFonts w:ascii="Times New Roman" w:hAnsi="Times New Roman"/>
        </w:rPr>
        <w:t xml:space="preserve">Modifíquese el parágrafo del artículo 459 del </w:t>
      </w:r>
      <w:r w:rsidR="002E5AA8">
        <w:rPr>
          <w:rFonts w:ascii="Times New Roman" w:hAnsi="Times New Roman"/>
        </w:rPr>
        <w:t>*</w:t>
      </w:r>
      <w:r w:rsidRPr="00F53530">
        <w:rPr>
          <w:rFonts w:ascii="Times New Roman" w:hAnsi="Times New Roman"/>
        </w:rPr>
        <w:t>Estatuto Tributario, el cual quedará así:</w:t>
      </w:r>
    </w:p>
    <w:p w14:paraId="045A375D" w14:textId="77777777" w:rsidR="00040448" w:rsidRPr="00F53530" w:rsidRDefault="00280B8A" w:rsidP="00C44821">
      <w:pPr>
        <w:spacing w:before="240" w:after="240" w:line="240" w:lineRule="auto"/>
        <w:jc w:val="both"/>
        <w:rPr>
          <w:rFonts w:ascii="Times New Roman" w:hAnsi="Times New Roman"/>
          <w:i/>
        </w:rPr>
      </w:pPr>
      <w:r w:rsidRPr="00882112">
        <w:rPr>
          <w:rFonts w:ascii="Times New Roman" w:hAnsi="Times New Roman"/>
          <w:b/>
          <w:bCs/>
          <w:i/>
        </w:rPr>
        <w:t>PARÁGRAFO.</w:t>
      </w:r>
      <w:r w:rsidRPr="00F53530">
        <w:rPr>
          <w:rFonts w:ascii="Times New Roman" w:hAnsi="Times New Roman"/>
          <w:i/>
        </w:rPr>
        <w:t xml:space="preserve"> </w:t>
      </w:r>
      <w:r w:rsidR="00040448" w:rsidRPr="00F53530">
        <w:rPr>
          <w:rFonts w:ascii="Times New Roman" w:hAnsi="Times New Roman"/>
          <w:i/>
        </w:rPr>
        <w:t>Cuando se trate de mercancías cuyo valor involucre la prestación de un servicio o resulte incrementado por la inclusión del valor de un bien intangible, la base gravable será determinada aplicando las normas sobre valoración aduanera, de conformidad con lo establecido por el Acuerdo de Valoración de la Organización Mundial de Comercio (OMC).</w:t>
      </w:r>
    </w:p>
    <w:p w14:paraId="045A375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base gravable sobre la cual se liquida el impuesto sobre las ventas (IVA) en la importación de productos terminados producidos en el exterior o en zona franca con componentes nacionales exportados de manera definitiva o introducidos de manera definitiva, o con materia prima importada, será la establecida en el inciso primero de este artículo adicionando o incluyendo el valor de todos los costos y gastos de producción y descontando el valor de las materias prima y servicios sobre los que ya se haya pagado el IVA, de conformidad con el certificado de integración. Cuando el importador sea el comprador o cliente en territorio aduanero nacional, la base gravable de la declaración de importación será el valor de la factura más los aranceles.</w:t>
      </w:r>
    </w:p>
    <w:p w14:paraId="045A375F"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Cuando los bienes producidos sean exentos o excluidos de IVA, la salida de zona franca al territorio aduanero nacional se perfeccionará con el Formulario de Movimiento de Mercancías y el certificado de integración. Lo anterior sin perjuicio de presentar declaración de importación cuando haya lugar a pagar derechos de aduana.</w:t>
      </w:r>
    </w:p>
    <w:p w14:paraId="045A3760" w14:textId="77777777" w:rsidR="002E5AA8" w:rsidRPr="00F53530" w:rsidRDefault="002E5AA8"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61" w14:textId="77777777" w:rsidR="00040448" w:rsidRPr="00F53530" w:rsidRDefault="00040448" w:rsidP="00C44821">
      <w:pPr>
        <w:spacing w:before="240" w:after="240" w:line="240" w:lineRule="auto"/>
        <w:jc w:val="both"/>
        <w:rPr>
          <w:rFonts w:ascii="Times New Roman" w:hAnsi="Times New Roman"/>
          <w:i/>
        </w:rPr>
      </w:pPr>
      <w:r w:rsidRPr="00882112">
        <w:rPr>
          <w:rFonts w:ascii="Times New Roman" w:hAnsi="Times New Roman"/>
          <w:b/>
          <w:bCs/>
        </w:rPr>
        <w:t>ARTÍCULO 9</w:t>
      </w:r>
      <w:r w:rsidRPr="00F53530">
        <w:rPr>
          <w:rFonts w:ascii="Times New Roman" w:hAnsi="Times New Roman"/>
        </w:rPr>
        <w:t>.</w:t>
      </w:r>
      <w:r w:rsidR="00882112">
        <w:rPr>
          <w:rFonts w:ascii="Times New Roman" w:hAnsi="Times New Roman"/>
        </w:rPr>
        <w:t xml:space="preserve"> </w:t>
      </w:r>
      <w:r w:rsidRPr="00F53530">
        <w:rPr>
          <w:rFonts w:ascii="Times New Roman" w:hAnsi="Times New Roman"/>
        </w:rPr>
        <w:t xml:space="preserve">Modifíquense las partidas arancelarias 87.11 y 87.12 del artículo 468-1 del </w:t>
      </w:r>
      <w:r w:rsidR="002E5AA8">
        <w:rPr>
          <w:rFonts w:ascii="Times New Roman" w:hAnsi="Times New Roman"/>
        </w:rPr>
        <w:t>*</w:t>
      </w:r>
      <w:r w:rsidRPr="00F53530">
        <w:rPr>
          <w:rFonts w:ascii="Times New Roman" w:hAnsi="Times New Roman"/>
        </w:rPr>
        <w:t>Estatuto Tributario, las cuales quedarán así:</w:t>
      </w:r>
    </w:p>
    <w:tbl>
      <w:tblPr>
        <w:tblW w:w="8784" w:type="dxa"/>
        <w:tblInd w:w="75" w:type="dxa"/>
        <w:tblCellMar>
          <w:left w:w="70" w:type="dxa"/>
          <w:right w:w="70" w:type="dxa"/>
        </w:tblCellMar>
        <w:tblLook w:val="04A0" w:firstRow="1" w:lastRow="0" w:firstColumn="1" w:lastColumn="0" w:noHBand="0" w:noVBand="1"/>
      </w:tblPr>
      <w:tblGrid>
        <w:gridCol w:w="1200"/>
        <w:gridCol w:w="7584"/>
      </w:tblGrid>
      <w:tr w:rsidR="009F6554" w:rsidRPr="00F53530" w14:paraId="045A3764" w14:textId="77777777" w:rsidTr="00B26BCD">
        <w:trPr>
          <w:trHeight w:val="58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A3762" w14:textId="77777777" w:rsidR="009F6554" w:rsidRPr="00F53530" w:rsidRDefault="009F6554"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lastRenderedPageBreak/>
              <w:t>87.11</w:t>
            </w:r>
          </w:p>
        </w:tc>
        <w:tc>
          <w:tcPr>
            <w:tcW w:w="7584" w:type="dxa"/>
            <w:tcBorders>
              <w:top w:val="single" w:sz="4" w:space="0" w:color="auto"/>
              <w:left w:val="nil"/>
              <w:bottom w:val="single" w:sz="4" w:space="0" w:color="auto"/>
              <w:right w:val="single" w:sz="4" w:space="0" w:color="auto"/>
            </w:tcBorders>
            <w:shd w:val="clear" w:color="auto" w:fill="auto"/>
            <w:vAlign w:val="center"/>
            <w:hideMark/>
          </w:tcPr>
          <w:p w14:paraId="045A3763" w14:textId="77777777" w:rsidR="009F6554" w:rsidRPr="00F53530" w:rsidRDefault="009F6554"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Motocicletas eléctricas (incluidos los ciclomotores) cuyo</w:t>
            </w:r>
            <w:r w:rsidRPr="00F53530">
              <w:rPr>
                <w:rFonts w:ascii="Times New Roman" w:eastAsia="Times New Roman" w:hAnsi="Times New Roman"/>
                <w:i/>
                <w:color w:val="000000"/>
                <w:lang w:eastAsia="es-CO"/>
              </w:rPr>
              <w:br/>
              <w:t>valor exceda de 50 UVT.</w:t>
            </w:r>
          </w:p>
        </w:tc>
      </w:tr>
      <w:tr w:rsidR="009F6554" w:rsidRPr="00F53530" w14:paraId="045A3767" w14:textId="77777777" w:rsidTr="00B26BCD">
        <w:trPr>
          <w:trHeight w:val="58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5A3765" w14:textId="77777777" w:rsidR="009F6554" w:rsidRPr="00F53530" w:rsidRDefault="009F6554"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87.12</w:t>
            </w:r>
          </w:p>
        </w:tc>
        <w:tc>
          <w:tcPr>
            <w:tcW w:w="7584" w:type="dxa"/>
            <w:tcBorders>
              <w:top w:val="nil"/>
              <w:left w:val="nil"/>
              <w:bottom w:val="single" w:sz="4" w:space="0" w:color="auto"/>
              <w:right w:val="single" w:sz="4" w:space="0" w:color="auto"/>
            </w:tcBorders>
            <w:shd w:val="clear" w:color="auto" w:fill="auto"/>
            <w:vAlign w:val="center"/>
            <w:hideMark/>
          </w:tcPr>
          <w:p w14:paraId="045A3766" w14:textId="77777777" w:rsidR="009F6554" w:rsidRPr="00F53530" w:rsidRDefault="009F6554"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Bicicletas y Bicicletas eléctricas (incluidos los triciclos de</w:t>
            </w:r>
            <w:r w:rsidRPr="00F53530">
              <w:rPr>
                <w:rFonts w:ascii="Times New Roman" w:eastAsia="Times New Roman" w:hAnsi="Times New Roman"/>
                <w:i/>
                <w:color w:val="000000"/>
                <w:lang w:eastAsia="es-CO"/>
              </w:rPr>
              <w:br/>
              <w:t xml:space="preserve">reparto) cuyo valor exceda de 50 UVT. </w:t>
            </w:r>
          </w:p>
        </w:tc>
      </w:tr>
    </w:tbl>
    <w:p w14:paraId="045A3768" w14:textId="77777777" w:rsidR="002E5AA8" w:rsidRDefault="002E5AA8" w:rsidP="00C44821">
      <w:pPr>
        <w:spacing w:before="240" w:after="240" w:line="240" w:lineRule="auto"/>
        <w:jc w:val="both"/>
        <w:rPr>
          <w:rFonts w:ascii="Times New Roman" w:hAnsi="Times New Roman"/>
          <w:b/>
          <w:b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69"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10.</w:t>
      </w:r>
      <w:r w:rsidR="00F84AD1">
        <w:rPr>
          <w:rFonts w:ascii="Times New Roman" w:hAnsi="Times New Roman"/>
        </w:rPr>
        <w:t xml:space="preserve"> </w:t>
      </w:r>
      <w:r w:rsidRPr="00F53530">
        <w:rPr>
          <w:rFonts w:ascii="Times New Roman" w:hAnsi="Times New Roman"/>
        </w:rPr>
        <w:t xml:space="preserve">Modifíquese el artículo 475 del </w:t>
      </w:r>
      <w:r w:rsidR="002E5AA8">
        <w:rPr>
          <w:rFonts w:ascii="Times New Roman" w:hAnsi="Times New Roman"/>
        </w:rPr>
        <w:t>*</w:t>
      </w:r>
      <w:r w:rsidRPr="00F53530">
        <w:rPr>
          <w:rFonts w:ascii="Times New Roman" w:hAnsi="Times New Roman"/>
        </w:rPr>
        <w:t>Estatuto Tributario, el cual quedará así:</w:t>
      </w:r>
    </w:p>
    <w:p w14:paraId="045A376A" w14:textId="00CBB2D9" w:rsidR="00040448" w:rsidRDefault="00040448" w:rsidP="00C44821">
      <w:pPr>
        <w:spacing w:before="240" w:after="240" w:line="240" w:lineRule="auto"/>
        <w:jc w:val="both"/>
        <w:rPr>
          <w:rFonts w:ascii="Times New Roman" w:hAnsi="Times New Roman"/>
          <w:i/>
        </w:rPr>
      </w:pPr>
      <w:r w:rsidRPr="00525498">
        <w:rPr>
          <w:rFonts w:ascii="Times New Roman" w:hAnsi="Times New Roman"/>
          <w:b/>
          <w:bCs/>
          <w:i/>
        </w:rPr>
        <w:t>Artículo 475</w:t>
      </w:r>
      <w:r w:rsidR="00280B8A" w:rsidRPr="00525498">
        <w:rPr>
          <w:rFonts w:ascii="Times New Roman" w:hAnsi="Times New Roman"/>
          <w:b/>
          <w:bCs/>
          <w:i/>
        </w:rPr>
        <w:t>.</w:t>
      </w:r>
      <w:r w:rsidRPr="00525498">
        <w:rPr>
          <w:rFonts w:ascii="Times New Roman" w:hAnsi="Times New Roman"/>
          <w:b/>
          <w:bCs/>
          <w:i/>
        </w:rPr>
        <w:t xml:space="preserve"> Base gravable para las cervezas de producción nacional e importadas</w:t>
      </w:r>
      <w:r w:rsidRPr="00F53530">
        <w:rPr>
          <w:rFonts w:ascii="Times New Roman" w:hAnsi="Times New Roman"/>
          <w:i/>
        </w:rPr>
        <w:t xml:space="preserve">. En todos los casos, la base gravable del impuesto sobre las ventas (IVA) está constituida por el precio de venta menos el impuesto al consumo de cervezas, sifones y refajos de que trata el artículo 185 y siguientes de la </w:t>
      </w:r>
      <w:hyperlink r:id="rId13" w:history="1">
        <w:r w:rsidRPr="009D2823">
          <w:rPr>
            <w:rStyle w:val="Hipervnculo"/>
            <w:rFonts w:ascii="Times New Roman" w:hAnsi="Times New Roman"/>
            <w:i/>
          </w:rPr>
          <w:t>Ley 223 de 1995</w:t>
        </w:r>
      </w:hyperlink>
      <w:r w:rsidRPr="00F53530">
        <w:rPr>
          <w:rFonts w:ascii="Times New Roman" w:hAnsi="Times New Roman"/>
          <w:i/>
        </w:rPr>
        <w:t xml:space="preserve"> o las leyes que lo modifiquen o sustituyan.</w:t>
      </w:r>
    </w:p>
    <w:p w14:paraId="045A376B" w14:textId="77777777" w:rsidR="002E5AA8" w:rsidRPr="00F53530" w:rsidRDefault="002E5AA8"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6C"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11.</w:t>
      </w:r>
      <w:r w:rsidR="00F84AD1">
        <w:rPr>
          <w:rFonts w:ascii="Times New Roman" w:hAnsi="Times New Roman"/>
          <w:b/>
          <w:bCs/>
        </w:rPr>
        <w:t xml:space="preserve"> </w:t>
      </w:r>
      <w:r w:rsidRPr="00F53530">
        <w:rPr>
          <w:rFonts w:ascii="Times New Roman" w:hAnsi="Times New Roman"/>
        </w:rPr>
        <w:t xml:space="preserve">Modifíquese el artículo 476 del </w:t>
      </w:r>
      <w:r w:rsidR="002E5AA8">
        <w:rPr>
          <w:rFonts w:ascii="Times New Roman" w:hAnsi="Times New Roman"/>
        </w:rPr>
        <w:t>*</w:t>
      </w:r>
      <w:r w:rsidRPr="00F53530">
        <w:rPr>
          <w:rFonts w:ascii="Times New Roman" w:hAnsi="Times New Roman"/>
        </w:rPr>
        <w:t>Estatuto Tributario, el cual quedará así:</w:t>
      </w:r>
    </w:p>
    <w:p w14:paraId="045A376D" w14:textId="77777777" w:rsidR="00040448" w:rsidRPr="00F53530" w:rsidRDefault="00040448" w:rsidP="00C44821">
      <w:pPr>
        <w:spacing w:before="240" w:after="240" w:line="240" w:lineRule="auto"/>
        <w:jc w:val="both"/>
        <w:rPr>
          <w:rFonts w:ascii="Times New Roman" w:hAnsi="Times New Roman"/>
          <w:i/>
        </w:rPr>
      </w:pPr>
      <w:r w:rsidRPr="00525498">
        <w:rPr>
          <w:rFonts w:ascii="Times New Roman" w:hAnsi="Times New Roman"/>
          <w:b/>
          <w:bCs/>
          <w:i/>
        </w:rPr>
        <w:t>Artículo 476</w:t>
      </w:r>
      <w:r w:rsidR="00280B8A" w:rsidRPr="00525498">
        <w:rPr>
          <w:rFonts w:ascii="Times New Roman" w:hAnsi="Times New Roman"/>
          <w:b/>
          <w:bCs/>
          <w:i/>
        </w:rPr>
        <w:t>.</w:t>
      </w:r>
      <w:r w:rsidRPr="00525498">
        <w:rPr>
          <w:rFonts w:ascii="Times New Roman" w:hAnsi="Times New Roman"/>
          <w:b/>
          <w:bCs/>
          <w:i/>
        </w:rPr>
        <w:t xml:space="preserve"> Servicios excluidos del impuesto a las ventas -IVA</w:t>
      </w:r>
      <w:r w:rsidRPr="00F53530">
        <w:rPr>
          <w:rFonts w:ascii="Times New Roman" w:hAnsi="Times New Roman"/>
          <w:i/>
        </w:rPr>
        <w:t>. Se exceptúan del impuesto los siguientes servicios y los bienes relacionados explícitamente a continuación:</w:t>
      </w:r>
    </w:p>
    <w:p w14:paraId="045A376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Los servicios médicos, odontológicos, hospitalarios, clínicos y de laboratorio, para la salud humana.</w:t>
      </w:r>
    </w:p>
    <w:p w14:paraId="045A376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2. Los servicios de administración de fondos del Estado y los servicios vinculados con la seguridad social de acuerdo con lo previsto en la </w:t>
      </w:r>
      <w:r w:rsidR="009D2823">
        <w:rPr>
          <w:rFonts w:ascii="Times New Roman" w:hAnsi="Times New Roman"/>
          <w:i/>
        </w:rPr>
        <w:t>*</w:t>
      </w:r>
      <w:r w:rsidRPr="00F53530">
        <w:rPr>
          <w:rFonts w:ascii="Times New Roman" w:hAnsi="Times New Roman"/>
          <w:i/>
        </w:rPr>
        <w:t>Ley 100 de 1993.</w:t>
      </w:r>
    </w:p>
    <w:p w14:paraId="045A377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3. Los planes obligatorios de salud del sistema de seguridad social en salud expedidos por entidades autorizadas por la Superintendencia Nacional de Salud, los servicios prestados por las administradoras dentro del régimen de ahorro individual con solidaridad y de prima media con prestación definida, los servicios prestados por administradoras de riesgos laborales y los servicios de seguros y reaseguros para invalidez y sobrevivientes, contemplados dentro del régimen de ahorro individual con solidaridad a que se refiere el artículo 135 de la </w:t>
      </w:r>
      <w:r w:rsidR="009D2823">
        <w:rPr>
          <w:rFonts w:ascii="Times New Roman" w:hAnsi="Times New Roman"/>
          <w:i/>
        </w:rPr>
        <w:t>*</w:t>
      </w:r>
      <w:r w:rsidRPr="00F53530">
        <w:rPr>
          <w:rFonts w:ascii="Times New Roman" w:hAnsi="Times New Roman"/>
          <w:i/>
        </w:rPr>
        <w:t>Ley 100 de 1993 o las disposiciones que la modifiquen o sustituyan.</w:t>
      </w:r>
    </w:p>
    <w:p w14:paraId="045A377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4. Las comisiones por intermediación por la colocación de los planes de salud del sistema general de seguridad social en salud expedidos por las entidades autorizadas legalmente por la Superintendencia Nacional de Salud, que no estén sometidos al impuesto sobre las ventas (IVA).</w:t>
      </w:r>
    </w:p>
    <w:p w14:paraId="045A3772" w14:textId="6FF36690"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5. Los servicios de educación prestados por establecimientos de educación preescolar, primaria, media e intermedia, superior y especial o no formal, reconocidos como tales por el Gobierno nacional, y los servicios de educación prestados por personas naturales a dichos establecimientos. Están excluidos igualmente los servicios prestados por los establecimientos de educación relativos a restaurantes, cafeterías y transporte, así como los que se presten en desarrollo de las </w:t>
      </w:r>
      <w:hyperlink r:id="rId14" w:history="1">
        <w:r w:rsidRPr="009D2823">
          <w:rPr>
            <w:rStyle w:val="Hipervnculo"/>
            <w:rFonts w:ascii="Times New Roman" w:hAnsi="Times New Roman"/>
            <w:i/>
          </w:rPr>
          <w:t>Leyes 30 de 1992</w:t>
        </w:r>
      </w:hyperlink>
      <w:r w:rsidRPr="00F53530">
        <w:rPr>
          <w:rFonts w:ascii="Times New Roman" w:hAnsi="Times New Roman"/>
          <w:i/>
        </w:rPr>
        <w:t xml:space="preserve"> y </w:t>
      </w:r>
      <w:hyperlink r:id="rId15" w:history="1">
        <w:r w:rsidRPr="009D2823">
          <w:rPr>
            <w:rStyle w:val="Hipervnculo"/>
            <w:rFonts w:ascii="Times New Roman" w:hAnsi="Times New Roman"/>
            <w:i/>
          </w:rPr>
          <w:t>115 de 1994</w:t>
        </w:r>
      </w:hyperlink>
      <w:r w:rsidRPr="00F53530">
        <w:rPr>
          <w:rFonts w:ascii="Times New Roman" w:hAnsi="Times New Roman"/>
          <w:i/>
        </w:rPr>
        <w:t xml:space="preserve">, o las disposiciones que las modifiquen o sustituyan. Igualmente están excluidos los servicios de evaluación de la educación y de elaboración y aplicación de exámenes para la </w:t>
      </w:r>
      <w:r w:rsidRPr="00F53530">
        <w:rPr>
          <w:rFonts w:ascii="Times New Roman" w:hAnsi="Times New Roman"/>
          <w:i/>
        </w:rPr>
        <w:lastRenderedPageBreak/>
        <w:t>selección y promoción de personal, prestados por organismos o entidades de la administración pública.</w:t>
      </w:r>
    </w:p>
    <w:p w14:paraId="045A377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6. Los servicios de educación virtual para el desarrollo de contenidos digitales, de acuerdo con la reglamentación expedida por el Ministerio de Tecnologías de la Información y las Comunicaciones, prestados en Colombia o en el exterior.</w:t>
      </w:r>
    </w:p>
    <w:p w14:paraId="045A377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7. Los servicios de conexión y acceso a internet de los usuarios residenciales del estrato 3.</w:t>
      </w:r>
    </w:p>
    <w:p w14:paraId="045A377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8. En el caso del servicio telefónico local, se excluyen del impuesto los primeros trescientos veinticinco (325) minutos mensuales del servicio telefónico local facturado a los usuarios de los estratos 1, 2 y 3 y el servicio telefónico prestado desde teléfonos públicos.</w:t>
      </w:r>
    </w:p>
    <w:p w14:paraId="045A377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9. El servicio de transporte público, terrestre, fluvial y marítimo de personas en el territorio nacional, y el de transporte público o privado nacional e internacional de carga marítimo, fluvial, terrestre y aéreo. Igualmente, se excluye el transporte de gas e hidrocarburos.</w:t>
      </w:r>
    </w:p>
    <w:p w14:paraId="045A377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10. El transporte aéreo nacional de pasajeros con destino o procedencia de rutas nacionales donde no exista transporte terrestre organizado. Esta exclusión también aplica para el transporte aéreo turístico con destino o procedencia al departamento de La Guajira y los municipios de Nuquí, en el departamento de Chocó, Mompox en el departamento de Bolívar, Tolú, en el departamento de Sucre, Miraflores en el departamento del Guaviare y Puerto Carreño en el departamento del Vichada.</w:t>
      </w:r>
    </w:p>
    <w:p w14:paraId="045A377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11. Los servicios públicos de energía. La energía y los servicios públicos de energía a base de gas u otros insumos.</w:t>
      </w:r>
    </w:p>
    <w:p w14:paraId="045A377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12. El agua para la prestación del servicio público de acueducto y alcantarillado, los servicios públicos de acueducto y alcantarillado, los servicios de aseo público y los servicios públicos de recolección de basuras.</w:t>
      </w:r>
    </w:p>
    <w:p w14:paraId="045A377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13. El gas para la prestación del servicio público de gas domiciliario y el servicio de gas domiciliario, ya sea conducido por tubería o distribuido en cilindros.</w:t>
      </w:r>
    </w:p>
    <w:p w14:paraId="045A377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14. Los servicios de alimentación, contratados con recursos públicos, destinados al sistema penitenciario, de asistencia social, de escuelas de educación pública, a las Fuerzas Militares, Policía Nacional, Centro de Desarrollo Infantil, centros geriátricos públicos, hospitales públicos, comedores comunitarios.</w:t>
      </w:r>
    </w:p>
    <w:p w14:paraId="045A377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15. El servicio de arrendamiento de inmuebles para vivienda y el arrendamiento de espacios para exposiciones y muestras artesanales nacionales, incluidos los eventos artísticos y culturales.</w:t>
      </w:r>
    </w:p>
    <w:p w14:paraId="045A377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16. Los intereses y rendimientos financieros por operaciones de crédito, siempre que no formen parte de la base gravable señalada en el artículo 447</w:t>
      </w:r>
      <w:r w:rsidR="009F6554" w:rsidRPr="00F53530">
        <w:rPr>
          <w:rFonts w:ascii="Times New Roman" w:hAnsi="Times New Roman"/>
          <w:i/>
        </w:rPr>
        <w:t>,</w:t>
      </w:r>
      <w:r w:rsidRPr="00F53530">
        <w:rPr>
          <w:rFonts w:ascii="Times New Roman" w:hAnsi="Times New Roman"/>
          <w:i/>
        </w:rPr>
        <w:t xml:space="preserve"> y el arrendamiento financiero (leasing).</w:t>
      </w:r>
    </w:p>
    <w:p w14:paraId="045A377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17. Los servicios de intermediación para el pago de incentivos o transferencias monetarias condicionadas en el marco de los programas sociales del Gobierno nacional.</w:t>
      </w:r>
    </w:p>
    <w:p w14:paraId="045A377F" w14:textId="1B63E90D"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18. Las boletas de entrada a cine, a los eventos deportivos, culturales, incluidos los musicales y de recreación familiar, y los espectáculos de toros, hípicos y caninos. También se encuentran excluidos los servicios de que trata el artículo 6 de la </w:t>
      </w:r>
      <w:hyperlink r:id="rId16" w:history="1">
        <w:r w:rsidRPr="009D2823">
          <w:rPr>
            <w:rStyle w:val="Hipervnculo"/>
            <w:rFonts w:ascii="Times New Roman" w:hAnsi="Times New Roman"/>
            <w:i/>
          </w:rPr>
          <w:t>Ley 1493 de 2011</w:t>
        </w:r>
      </w:hyperlink>
      <w:r w:rsidRPr="00F53530">
        <w:rPr>
          <w:rFonts w:ascii="Times New Roman" w:hAnsi="Times New Roman"/>
          <w:i/>
        </w:rPr>
        <w:t>.</w:t>
      </w:r>
    </w:p>
    <w:p w14:paraId="045A378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19. Los servicios funerarios, los de cremación, inhumación y exhumación de cadáveres, alquiler y mantenimiento de tumbas y mausoleos.</w:t>
      </w:r>
    </w:p>
    <w:p w14:paraId="045A378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20. Adquisición de licencias de software para el desarrollo comercial de contenidos digitales, de acuerdo con la reglamentación expedida por el Ministerio de Tecnologías de la Información y Comunicaciones.</w:t>
      </w:r>
    </w:p>
    <w:p w14:paraId="045A378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21. Suministro de páginas web, servidores (hosting), computación en la nube (cloud computing).</w:t>
      </w:r>
    </w:p>
    <w:p w14:paraId="045A378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22. Las comisiones pagadas por los servicios que se presten para el desarrollo de procesos de titularización de activos a través de universalidades y patrimonios autónomos cuyo pago se realice exclusivamente con cargo a los recursos de tales universalidades o patrimonios autónomos.</w:t>
      </w:r>
    </w:p>
    <w:p w14:paraId="045A378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23. Las comisiones percibidas por las sociedades fiduciarias, sociedades administradoras de inversión y comisionistas de bolsa por la administración de fondos de inversión colectiva.</w:t>
      </w:r>
    </w:p>
    <w:p w14:paraId="045A378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24. Los siguientes servicios, siempre que se destinen a la adecuación de tierras, a la producción agropecuaria y pesquera y a la comercialización de los respectivos productos:</w:t>
      </w:r>
    </w:p>
    <w:p w14:paraId="045A378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El riego de terrenos dedicados a la explotación agropecuaria;</w:t>
      </w:r>
    </w:p>
    <w:p w14:paraId="045A378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El diseño de sistemas de riego, su instalación, construcción, operación, administración y conservación;</w:t>
      </w:r>
    </w:p>
    <w:p w14:paraId="045A378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La construcción de reservorios para la actividad agropecuaria;</w:t>
      </w:r>
    </w:p>
    <w:p w14:paraId="045A378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d) La preparación y limpieza de terrenos de siembra;</w:t>
      </w:r>
    </w:p>
    <w:p w14:paraId="045A378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 El control de plagas, enfermedades y malezas, incluida la fumigación aérea y terrestre de sembradíos;</w:t>
      </w:r>
    </w:p>
    <w:p w14:paraId="045A378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f) El corte y recolección manual y mecanizada de productos agropecuarios;</w:t>
      </w:r>
    </w:p>
    <w:p w14:paraId="045A378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g) Aplicación de fertilizantes y elementos de nutrición edáfica y foliar de los cultivos;</w:t>
      </w:r>
    </w:p>
    <w:p w14:paraId="045A378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h) Aplicación de sales mineralizadas;</w:t>
      </w:r>
    </w:p>
    <w:p w14:paraId="045A378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i) Aplicación de enmiendas agrícolas;</w:t>
      </w:r>
    </w:p>
    <w:p w14:paraId="045A378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j) Aplicación de insumos como vacunas y productos veterinarios;</w:t>
      </w:r>
    </w:p>
    <w:p w14:paraId="045A379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k) El pesaje y el alquiler de corrales en ferias de ganado mayor y menor;</w:t>
      </w:r>
    </w:p>
    <w:p w14:paraId="045A379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 La siembra;</w:t>
      </w:r>
    </w:p>
    <w:p w14:paraId="045A379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m) La construcción de drenajes para la agricultura;</w:t>
      </w:r>
    </w:p>
    <w:p w14:paraId="045A379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n) La construcción de estanques para la piscicultura;</w:t>
      </w:r>
    </w:p>
    <w:p w14:paraId="045A379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o) Los programas de sanidad animal;</w:t>
      </w:r>
    </w:p>
    <w:p w14:paraId="045A379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 La perforación de pozos profundos para la extracción de agua;</w:t>
      </w:r>
    </w:p>
    <w:p w14:paraId="045A379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q) El desmonte de algodón, la trilla y el secamiento de productos agrícolas;</w:t>
      </w:r>
    </w:p>
    <w:p w14:paraId="045A379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r) La selección, clasificación y el empaque de productos agropecuarios sin procesamiento industrial</w:t>
      </w:r>
    </w:p>
    <w:p w14:paraId="045A379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s) La asistencia técnica en el sector agropecuario;</w:t>
      </w:r>
    </w:p>
    <w:p w14:paraId="045A379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t) La captura, procesamiento y comercialización de productos pesqueros;</w:t>
      </w:r>
    </w:p>
    <w:p w14:paraId="045A379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Los usuarios de los servicios excluidos por el presente numeral deberán expedir una certificación a quien preste el servicio, en donde conste la destinación, el valor y el nombre e identificación del mismo. Quien preste el servicio deberá conservar dicha certificación durante el plazo señalado en el artículo 632 del </w:t>
      </w:r>
      <w:r w:rsidR="002E5AA8">
        <w:rPr>
          <w:rFonts w:ascii="Times New Roman" w:hAnsi="Times New Roman"/>
          <w:i/>
        </w:rPr>
        <w:t>*</w:t>
      </w:r>
      <w:r w:rsidRPr="00F53530">
        <w:rPr>
          <w:rFonts w:ascii="Times New Roman" w:hAnsi="Times New Roman"/>
          <w:i/>
        </w:rPr>
        <w:t>Estatuto Tributario, la cual servirá como soporte para la exclusión de los servicios.</w:t>
      </w:r>
    </w:p>
    <w:p w14:paraId="045A379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25. La comercialización de animales vivos y el servicio de faenamiento.</w:t>
      </w:r>
    </w:p>
    <w:p w14:paraId="045A379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26. Están excluidos de IVA los servicios de hotelería y turismo que sean prestados en los municipios que integran las siguientes zonas de régimen aduanero especial:</w:t>
      </w:r>
    </w:p>
    <w:p w14:paraId="045A379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Zona de régimen aduanero especial de Urabá, Tumaco y Guapi.</w:t>
      </w:r>
    </w:p>
    <w:p w14:paraId="045A379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Zona de régimen aduanero especial de Inírida, Puerto Carreño, La Primavera y Cumaribo.</w:t>
      </w:r>
    </w:p>
    <w:p w14:paraId="045A379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Zona de régimen aduanero especial de Maicao, Uribia y Manaure.</w:t>
      </w:r>
    </w:p>
    <w:p w14:paraId="045A37A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27. Las operaciones cambiarias de compra y venta de divisas, así como las operaciones cambiarias sobre instrumentos derivados financieros.</w:t>
      </w:r>
    </w:p>
    <w:p w14:paraId="045A37A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28. Las comisiones percibidas por la utilización de tarjetas crédito y débito.</w:t>
      </w:r>
    </w:p>
    <w:p w14:paraId="045A37A2" w14:textId="65024F12"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29. Los servicios de promoción y fomento deportivo prestados por los clubes deportivos definidos en el artículo 2 del </w:t>
      </w:r>
      <w:hyperlink r:id="rId17" w:history="1">
        <w:r w:rsidRPr="009D2823">
          <w:rPr>
            <w:rStyle w:val="Hipervnculo"/>
            <w:rFonts w:ascii="Times New Roman" w:hAnsi="Times New Roman"/>
            <w:i/>
          </w:rPr>
          <w:t>Decreto Ley 1228 de 1995</w:t>
        </w:r>
      </w:hyperlink>
      <w:r w:rsidRPr="00F53530">
        <w:rPr>
          <w:rFonts w:ascii="Times New Roman" w:hAnsi="Times New Roman"/>
          <w:i/>
        </w:rPr>
        <w:t>.</w:t>
      </w:r>
    </w:p>
    <w:p w14:paraId="045A37A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30. Los servicios de reparación y mantenimiento de naves y artefactos navales tanto marítimos como fluviales de bandera colombiana, excepto los servicios que se encuentran en el literal P) del numeral 3 del artículo 477 de este Estatuto.</w:t>
      </w:r>
    </w:p>
    <w:p w14:paraId="045A37A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31. Los servicios de publicidad en periódicos que registren ventas en publicidad a 31 de diciembre del año inmediatamente anterior inferiores a 180.000 UVT.</w:t>
      </w:r>
    </w:p>
    <w:p w14:paraId="045A37A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publicidad en las emisoras de radio cuyas ventas sean inferiores a 30.000 UVT al 31 de diciembre del año inmediatamente anterior y programadoras de canales regionales de televisión cuyas ventas sean inferiores a 60.000 UVT al 31 de diciembre del año inmediatamente anterior. Aquellas que superen este monto se regirán por la regla general.</w:t>
      </w:r>
    </w:p>
    <w:p w14:paraId="045A37A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Las exclusiones previstas en este numeral no se aplicarán a las empresas que surjan como consecuencia de la escisión de sociedades que antes de la expedición de la presente ley conformen una sola empresa ni a las nuevas empresas que se creen cuya matriz o empresa dominante se encuentre gravada con el IVA por este concepto.</w:t>
      </w:r>
    </w:p>
    <w:p w14:paraId="045A37A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32. Los servicios de corretaje de contratos de reaseguros.</w:t>
      </w:r>
    </w:p>
    <w:p w14:paraId="045A37A8" w14:textId="77777777" w:rsidR="00040448" w:rsidRPr="00F53530" w:rsidRDefault="00280B8A" w:rsidP="00C44821">
      <w:pPr>
        <w:spacing w:before="240" w:after="240" w:line="240" w:lineRule="auto"/>
        <w:jc w:val="both"/>
        <w:rPr>
          <w:rFonts w:ascii="Times New Roman" w:hAnsi="Times New Roman"/>
          <w:i/>
        </w:rPr>
      </w:pPr>
      <w:r w:rsidRPr="00525498">
        <w:rPr>
          <w:rFonts w:ascii="Times New Roman" w:hAnsi="Times New Roman"/>
          <w:b/>
          <w:bCs/>
          <w:i/>
        </w:rPr>
        <w:lastRenderedPageBreak/>
        <w:t>PARÁGRAFO</w:t>
      </w:r>
      <w:r w:rsidRPr="00F53530">
        <w:rPr>
          <w:rFonts w:ascii="Times New Roman" w:hAnsi="Times New Roman"/>
          <w:i/>
        </w:rPr>
        <w:t xml:space="preserve">. </w:t>
      </w:r>
      <w:r w:rsidR="00040448" w:rsidRPr="00F53530">
        <w:rPr>
          <w:rFonts w:ascii="Times New Roman" w:hAnsi="Times New Roman"/>
          <w:i/>
        </w:rPr>
        <w:t>En los casos de trabajos de fabricación, elaboración o construcción de bienes corporales muebles, realizados por encargo de terceros, incluidos los destinados a convertirse en inmuebles por accesión, con o sin aporte de materias primas, ya sea que supongan la obtención del producto final o constituyan una etapa de su fabricación, elaboración, construcción o puesta en condiciones de utilización, la tarifa aplicable es la que corresponda al bien que resulte de la prestación del servicio.</w:t>
      </w:r>
    </w:p>
    <w:p w14:paraId="045A37A9"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Lo dispuesto en el presente parágrafo no aplica para las industrias de minería e hidrocarburos.</w:t>
      </w:r>
    </w:p>
    <w:p w14:paraId="045A37AA" w14:textId="77777777" w:rsidR="002E5AA8" w:rsidRDefault="002E5AA8"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w:t>
      </w:r>
      <w:r w:rsidR="00E01128">
        <w:rPr>
          <w:rFonts w:ascii="Times New Roman" w:hAnsi="Times New Roman"/>
          <w:highlight w:val="green"/>
        </w:rPr>
        <w:t xml:space="preserve"> y a la Ley 100 de 1993</w:t>
      </w:r>
      <w:r w:rsidRPr="008D21E5">
        <w:rPr>
          <w:rFonts w:ascii="Times New Roman" w:hAnsi="Times New Roman"/>
          <w:highlight w:val="green"/>
        </w:rPr>
        <w:t>, le sugerimos remitirse a la publicación de nuestro Grupo Editorial Nueva Legislación “Estatuto Tributario Nacional”</w:t>
      </w:r>
      <w:r w:rsidR="00E01128">
        <w:rPr>
          <w:rFonts w:ascii="Times New Roman" w:hAnsi="Times New Roman"/>
          <w:highlight w:val="green"/>
        </w:rPr>
        <w:t xml:space="preserve"> y </w:t>
      </w:r>
      <w:r w:rsidR="00E01128" w:rsidRPr="00C92E66">
        <w:rPr>
          <w:rFonts w:ascii="Times New Roman" w:hAnsi="Times New Roman"/>
          <w:highlight w:val="green"/>
        </w:rPr>
        <w:t>“</w:t>
      </w:r>
      <w:r w:rsidR="00E01128">
        <w:rPr>
          <w:rFonts w:ascii="Times New Roman" w:hAnsi="Times New Roman"/>
          <w:highlight w:val="green"/>
        </w:rPr>
        <w:t>Sistema de Seguridad Social Integral</w:t>
      </w:r>
      <w:r w:rsidR="00E01128" w:rsidRPr="00C92E66">
        <w:rPr>
          <w:rFonts w:ascii="Times New Roman" w:hAnsi="Times New Roman"/>
          <w:highlight w:val="green"/>
        </w:rPr>
        <w:t>”.</w:t>
      </w:r>
    </w:p>
    <w:p w14:paraId="045A37AB"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12.</w:t>
      </w:r>
      <w:r w:rsidR="00F84AD1">
        <w:rPr>
          <w:rFonts w:ascii="Times New Roman" w:hAnsi="Times New Roman"/>
          <w:b/>
          <w:bCs/>
        </w:rPr>
        <w:t xml:space="preserve"> </w:t>
      </w:r>
      <w:r w:rsidRPr="00F53530">
        <w:rPr>
          <w:rFonts w:ascii="Times New Roman" w:hAnsi="Times New Roman"/>
        </w:rPr>
        <w:t xml:space="preserve">Adiciónense los siguientes bienes, modifíquese el numeral 1, adiciónense los numerales 4, 5 y 7 y un parágrafo 4 al artículo 477 del </w:t>
      </w:r>
      <w:r w:rsidR="002E5AA8">
        <w:rPr>
          <w:rFonts w:ascii="Times New Roman" w:hAnsi="Times New Roman"/>
        </w:rPr>
        <w:t>*</w:t>
      </w:r>
      <w:r w:rsidRPr="00F53530">
        <w:rPr>
          <w:rFonts w:ascii="Times New Roman" w:hAnsi="Times New Roman"/>
        </w:rPr>
        <w:t>Estatuto Tributario, así:</w:t>
      </w:r>
    </w:p>
    <w:tbl>
      <w:tblPr>
        <w:tblW w:w="7120" w:type="dxa"/>
        <w:jc w:val="center"/>
        <w:tblCellMar>
          <w:left w:w="70" w:type="dxa"/>
          <w:right w:w="70" w:type="dxa"/>
        </w:tblCellMar>
        <w:tblLook w:val="04A0" w:firstRow="1" w:lastRow="0" w:firstColumn="1" w:lastColumn="0" w:noHBand="0" w:noVBand="1"/>
      </w:tblPr>
      <w:tblGrid>
        <w:gridCol w:w="1200"/>
        <w:gridCol w:w="5920"/>
      </w:tblGrid>
      <w:tr w:rsidR="00D53F10" w:rsidRPr="00F53530" w14:paraId="045A37AE" w14:textId="77777777" w:rsidTr="00B26BCD">
        <w:trPr>
          <w:trHeight w:val="1425"/>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A37AC" w14:textId="77777777" w:rsidR="00D53F10" w:rsidRPr="00F53530" w:rsidRDefault="00D53F10"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29.36</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14:paraId="045A37AD" w14:textId="77777777" w:rsidR="00D53F10" w:rsidRPr="00F53530" w:rsidRDefault="00D53F10"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Provitaminas y vitaminas, naturales o reproducidas por síntesis (incluidos los concentrados naturales) y sus derivados utilizados principalmente como vitaminas, mezclados o no entre sí o en disoluciones de cualquier clase.</w:t>
            </w:r>
          </w:p>
        </w:tc>
      </w:tr>
      <w:tr w:rsidR="00D53F10" w:rsidRPr="00F53530" w14:paraId="045A37B1" w14:textId="77777777" w:rsidTr="00B26BCD">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45A37AF" w14:textId="77777777" w:rsidR="00D53F10" w:rsidRPr="00F53530" w:rsidRDefault="00D53F10"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29.41</w:t>
            </w:r>
          </w:p>
        </w:tc>
        <w:tc>
          <w:tcPr>
            <w:tcW w:w="5920" w:type="dxa"/>
            <w:tcBorders>
              <w:top w:val="nil"/>
              <w:left w:val="nil"/>
              <w:bottom w:val="single" w:sz="4" w:space="0" w:color="auto"/>
              <w:right w:val="single" w:sz="4" w:space="0" w:color="auto"/>
            </w:tcBorders>
            <w:shd w:val="clear" w:color="auto" w:fill="auto"/>
            <w:vAlign w:val="center"/>
            <w:hideMark/>
          </w:tcPr>
          <w:p w14:paraId="045A37B0" w14:textId="77777777" w:rsidR="00D53F10" w:rsidRPr="00F53530" w:rsidRDefault="00D53F10"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Antibióticos.</w:t>
            </w:r>
          </w:p>
        </w:tc>
      </w:tr>
      <w:tr w:rsidR="00D53F10" w:rsidRPr="00F53530" w14:paraId="045A37B4" w14:textId="77777777" w:rsidTr="00B26BCD">
        <w:trPr>
          <w:trHeight w:val="1721"/>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45A37B2" w14:textId="77777777" w:rsidR="00D53F10" w:rsidRPr="00F53530" w:rsidRDefault="00D53F10"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30.01</w:t>
            </w:r>
          </w:p>
        </w:tc>
        <w:tc>
          <w:tcPr>
            <w:tcW w:w="5920" w:type="dxa"/>
            <w:tcBorders>
              <w:top w:val="nil"/>
              <w:left w:val="nil"/>
              <w:bottom w:val="single" w:sz="4" w:space="0" w:color="auto"/>
              <w:right w:val="single" w:sz="4" w:space="0" w:color="auto"/>
            </w:tcBorders>
            <w:shd w:val="clear" w:color="auto" w:fill="auto"/>
            <w:vAlign w:val="center"/>
            <w:hideMark/>
          </w:tcPr>
          <w:p w14:paraId="045A37B3" w14:textId="77777777" w:rsidR="00D53F10" w:rsidRPr="00F53530" w:rsidRDefault="00D53F10"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Glándulas y demás órganos para usos opoterápicos, desecados, incluso pulverizados, extracto de glándulas o de otros órganos o de sus secreciones, para usos opoterápicos, heparina y sus sales, las demás sustancias humanas o animales preparadas para usos terapéuticos o profilácticos, no expresadas ni comprendidas en otra parte.</w:t>
            </w:r>
          </w:p>
        </w:tc>
      </w:tr>
      <w:tr w:rsidR="00D53F10" w:rsidRPr="00F53530" w14:paraId="045A37B7" w14:textId="77777777" w:rsidTr="00B26BCD">
        <w:trPr>
          <w:trHeight w:val="1831"/>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45A37B5" w14:textId="77777777" w:rsidR="00D53F10" w:rsidRPr="00F53530" w:rsidRDefault="00D53F10"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30.02</w:t>
            </w:r>
          </w:p>
        </w:tc>
        <w:tc>
          <w:tcPr>
            <w:tcW w:w="5920" w:type="dxa"/>
            <w:tcBorders>
              <w:top w:val="nil"/>
              <w:left w:val="nil"/>
              <w:bottom w:val="single" w:sz="4" w:space="0" w:color="auto"/>
              <w:right w:val="single" w:sz="4" w:space="0" w:color="auto"/>
            </w:tcBorders>
            <w:shd w:val="clear" w:color="auto" w:fill="auto"/>
            <w:vAlign w:val="center"/>
            <w:hideMark/>
          </w:tcPr>
          <w:p w14:paraId="045A37B6" w14:textId="77777777" w:rsidR="00D53F10" w:rsidRPr="00F53530" w:rsidRDefault="00D53F10"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Sangre humana, sangre animal preparada para usos terapéuticos, profilácticos o de diagnóstico, antisueros (sueros con anticuerpos), demás fracciones de la sangre y productos inmunológicos modificados, incluso obtenidos por proceso biotecnológico, vacunas, toxinas, cultivos de microrganismos (excepto las levaduras) y productos similares.</w:t>
            </w:r>
          </w:p>
        </w:tc>
      </w:tr>
      <w:tr w:rsidR="00D53F10" w:rsidRPr="00F53530" w14:paraId="045A37BA" w14:textId="77777777" w:rsidTr="00B26BCD">
        <w:trPr>
          <w:trHeight w:val="142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45A37B8" w14:textId="77777777" w:rsidR="00D53F10" w:rsidRPr="00F53530" w:rsidRDefault="00D53F10"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30.03</w:t>
            </w:r>
          </w:p>
        </w:tc>
        <w:tc>
          <w:tcPr>
            <w:tcW w:w="5920" w:type="dxa"/>
            <w:tcBorders>
              <w:top w:val="nil"/>
              <w:left w:val="nil"/>
              <w:bottom w:val="single" w:sz="4" w:space="0" w:color="auto"/>
              <w:right w:val="single" w:sz="4" w:space="0" w:color="auto"/>
            </w:tcBorders>
            <w:shd w:val="clear" w:color="auto" w:fill="auto"/>
            <w:vAlign w:val="center"/>
            <w:hideMark/>
          </w:tcPr>
          <w:p w14:paraId="045A37B9" w14:textId="77777777" w:rsidR="00D53F10" w:rsidRPr="00F53530" w:rsidRDefault="00D53F10"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Medicamentos (excepto los productos de las partidas 30.02, 30.05 o 30.06) constituidos por productos mezclados entre sí, preparados para usos terapéuticos o profilácticos, sin dosificar ni acondicionar para la venta al por menor.</w:t>
            </w:r>
          </w:p>
        </w:tc>
      </w:tr>
      <w:tr w:rsidR="00D53F10" w:rsidRPr="00F53530" w14:paraId="045A37BD" w14:textId="77777777" w:rsidTr="00B26BCD">
        <w:trPr>
          <w:trHeight w:val="142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45A37BB" w14:textId="77777777" w:rsidR="00D53F10" w:rsidRPr="00F53530" w:rsidRDefault="00D53F10"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30.04</w:t>
            </w:r>
          </w:p>
        </w:tc>
        <w:tc>
          <w:tcPr>
            <w:tcW w:w="5920" w:type="dxa"/>
            <w:tcBorders>
              <w:top w:val="nil"/>
              <w:left w:val="nil"/>
              <w:bottom w:val="single" w:sz="4" w:space="0" w:color="auto"/>
              <w:right w:val="single" w:sz="4" w:space="0" w:color="auto"/>
            </w:tcBorders>
            <w:shd w:val="clear" w:color="auto" w:fill="auto"/>
            <w:vAlign w:val="center"/>
            <w:hideMark/>
          </w:tcPr>
          <w:p w14:paraId="045A37BC" w14:textId="77777777" w:rsidR="00D53F10" w:rsidRPr="00F53530" w:rsidRDefault="00D53F10"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Medicamentos (excepto los productos de las partidas 30.02, 30.05 o 30.06) constituidos por productos mezclados o sin mezclar preparados para usos terapéuticos o profilácticos, dosificados o acondicionados para la venta al por menor.</w:t>
            </w:r>
          </w:p>
        </w:tc>
      </w:tr>
      <w:tr w:rsidR="00D53F10" w:rsidRPr="00F53530" w14:paraId="045A37C0" w14:textId="77777777" w:rsidTr="00B26BCD">
        <w:trPr>
          <w:trHeight w:val="57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45A37BE" w14:textId="77777777" w:rsidR="00D53F10" w:rsidRPr="00F53530" w:rsidRDefault="00D53F10"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30.06</w:t>
            </w:r>
          </w:p>
        </w:tc>
        <w:tc>
          <w:tcPr>
            <w:tcW w:w="5920" w:type="dxa"/>
            <w:tcBorders>
              <w:top w:val="nil"/>
              <w:left w:val="nil"/>
              <w:bottom w:val="single" w:sz="4" w:space="0" w:color="auto"/>
              <w:right w:val="single" w:sz="4" w:space="0" w:color="auto"/>
            </w:tcBorders>
            <w:shd w:val="clear" w:color="auto" w:fill="auto"/>
            <w:vAlign w:val="center"/>
            <w:hideMark/>
          </w:tcPr>
          <w:p w14:paraId="045A37BF" w14:textId="77777777" w:rsidR="00D53F10" w:rsidRPr="00F53530" w:rsidRDefault="00D53F10"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Preparaciones y artículos farmacéuticos a que se refiere la nota 4 de este capítulo.</w:t>
            </w:r>
          </w:p>
        </w:tc>
      </w:tr>
    </w:tbl>
    <w:p w14:paraId="045A37C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1. Alcohol carburante con destino a la mezcla con gasolina para los vehículos automotores; y el biocombustible de origen vegetal o animal para uso en motores diésel de producción nacional con destino a la mezcla con ACPM.</w:t>
      </w:r>
    </w:p>
    <w:p w14:paraId="045A37C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4. Los vehículos automotores de transporte público de pasajeros completos y el chasis con motor y la carrocería adquiridos individualmente para conformar un vehículo automotor completo nuevo, de transporte público de pasajeros. Este beneficio será aplicable a las ventas hechas a pequeños transportadores propietarios de hasta de dos (2) vehículos y para efectos de la reposición de uno o dos vehículos propios, por una única vez. Este beneficio tendrá vigencia de cinco (5) años.</w:t>
      </w:r>
    </w:p>
    <w:p w14:paraId="045A37C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5. Los vehículos automotores de servicio público o particular, de transporte de carga completos y el chasis con motor y la carrocería adquiridos individualmente para conformar un vehículo automotor completo nuevo de transporte de carga de más de 10.5 toneladas de peso bruto vehicular. Este beneficio será aplicable a las ventas hechas a pequeños transportadores propietarios de hasta de dos (2) vehículos y para efectos de la reposición de uno o dos vehículos propios, por una única vez. Este beneficio tendrá vigencia de cinco (5) años.</w:t>
      </w:r>
    </w:p>
    <w:p w14:paraId="045A37C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7. El consumo humano y animal, vestuario, elementos de aseo y medicamentos para uso humano o veterinario, materiales de construcción que se introduzcan y comercialicen al departamento de Amazonas, siempre y cuando se destinen exclusivamente al consumo dentro del mismo departamento. El Gobierno nacional reglamentará la materia para garantizar que la exención del IVA se aplique en las ventas al consumidor final. Adicionalmente, el tratamiento consagrado en este numeral será aplicable, siempre y cuando se cumpla con la totalidad de los siguientes requisitos:</w:t>
      </w:r>
    </w:p>
    <w:p w14:paraId="045A37C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El adquiriente sea una sociedad constituida y domiciliada en el departamento del Amazonas, y cuya actividad económica sea realizada únicamente en dicho departamento.</w:t>
      </w:r>
    </w:p>
    <w:p w14:paraId="045A37C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El adquiriente de los bienes de que trata este numeral debe estar inscrito en factura electrónica.</w:t>
      </w:r>
    </w:p>
    <w:p w14:paraId="045A37C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El documento de transporte aéreo y/o fluvial de los bienes de que trata este numeral debe garantizar que las mercancías ingresan efectivamente al departamento del Amazonas y son enajenados únicamente a consumidores finales ubicados únicamente en dicho departamento.</w:t>
      </w:r>
    </w:p>
    <w:p w14:paraId="045A37C8" w14:textId="77777777" w:rsidR="00040448" w:rsidRPr="00F53530" w:rsidRDefault="00280B8A" w:rsidP="00C44821">
      <w:pPr>
        <w:spacing w:before="240" w:after="240" w:line="240" w:lineRule="auto"/>
        <w:jc w:val="both"/>
        <w:rPr>
          <w:rFonts w:ascii="Times New Roman" w:hAnsi="Times New Roman"/>
          <w:i/>
        </w:rPr>
      </w:pPr>
      <w:r w:rsidRPr="00525498">
        <w:rPr>
          <w:rFonts w:ascii="Times New Roman" w:hAnsi="Times New Roman"/>
          <w:b/>
          <w:bCs/>
          <w:i/>
        </w:rPr>
        <w:t>PARÁGRAFO 4.</w:t>
      </w:r>
      <w:r w:rsidRPr="00F53530">
        <w:rPr>
          <w:rFonts w:ascii="Times New Roman" w:hAnsi="Times New Roman"/>
          <w:i/>
        </w:rPr>
        <w:t xml:space="preserve"> </w:t>
      </w:r>
      <w:r w:rsidR="00040448" w:rsidRPr="00F53530">
        <w:rPr>
          <w:rFonts w:ascii="Times New Roman" w:hAnsi="Times New Roman"/>
          <w:i/>
        </w:rPr>
        <w:t xml:space="preserve">Para la aplicación de la exención a que se refieren los numerales 4 y 5 de este artículo, los vehículos automotores completos nuevos o el que se conforme por el chasis con motor o carrocería adquiridos individualmente, deberán destinarse para el respectivo servicio, público o particular según el caso, en el cual se encontraba registrado el vehículo objeto de reposición, para lo cual deberán cumplir los procedimientos que para el efecto fijen los Ministerios de Transporte y Hacienda y Crédito Público para la aplicación de dicho beneficio. Los beneficiarios de esta exención deberán mantener los bienes de que tratan los numerales 4 y 5 del artículo 477 del </w:t>
      </w:r>
      <w:r w:rsidR="002E5AA8">
        <w:rPr>
          <w:rFonts w:ascii="Times New Roman" w:hAnsi="Times New Roman"/>
          <w:i/>
        </w:rPr>
        <w:t>*</w:t>
      </w:r>
      <w:r w:rsidR="00040448" w:rsidRPr="00F53530">
        <w:rPr>
          <w:rFonts w:ascii="Times New Roman" w:hAnsi="Times New Roman"/>
          <w:i/>
        </w:rPr>
        <w:t>Estatuto Tributario como activo fijo y su incumplimiento dará lugar al pago del impuesto sobre las ventas correspondiente.</w:t>
      </w:r>
    </w:p>
    <w:p w14:paraId="045A37C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Cuando el vendedor de los bienes de que tratan los numerales 4 y 5 de este artículo, responsable del impuesto sobre las ventas sea un comercializador, podrá aplicar el procedimiento de devolución y/o compensación previsto en el artículo 850 del </w:t>
      </w:r>
      <w:r w:rsidR="002E5AA8">
        <w:rPr>
          <w:rFonts w:ascii="Times New Roman" w:hAnsi="Times New Roman"/>
          <w:i/>
        </w:rPr>
        <w:t>*</w:t>
      </w:r>
      <w:r w:rsidRPr="00F53530">
        <w:rPr>
          <w:rFonts w:ascii="Times New Roman" w:hAnsi="Times New Roman"/>
          <w:i/>
        </w:rPr>
        <w:t>Estatuto Tributario, según corresponda.</w:t>
      </w:r>
    </w:p>
    <w:p w14:paraId="045A37CA"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El beneficio establecido en los numerales 4 y 5 de este artículo también será aplicable cuando se adquieran por arrendamiento financiero o leasing con opción irrevocable de compra. Su incumplimiento dará lugar al pago del impuesto correspondiente.</w:t>
      </w:r>
    </w:p>
    <w:p w14:paraId="045A37CB" w14:textId="77777777" w:rsidR="002E5AA8" w:rsidRPr="00F53530" w:rsidRDefault="002E5AA8" w:rsidP="00C44821">
      <w:pPr>
        <w:spacing w:before="240" w:after="240" w:line="240" w:lineRule="auto"/>
        <w:jc w:val="both"/>
        <w:rPr>
          <w:rFonts w:ascii="Times New Roman" w:hAnsi="Times New Roman"/>
          <w:i/>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CC" w14:textId="77777777" w:rsidR="00040448" w:rsidRDefault="00040448" w:rsidP="00C44821">
      <w:pPr>
        <w:spacing w:before="240" w:after="240" w:line="240" w:lineRule="auto"/>
        <w:jc w:val="both"/>
        <w:rPr>
          <w:rFonts w:ascii="Times New Roman" w:hAnsi="Times New Roman"/>
        </w:rPr>
      </w:pPr>
      <w:r w:rsidRPr="00F84AD1">
        <w:rPr>
          <w:rFonts w:ascii="Times New Roman" w:hAnsi="Times New Roman"/>
          <w:b/>
          <w:bCs/>
        </w:rPr>
        <w:t>ARTÍCULO 13.</w:t>
      </w:r>
      <w:r w:rsidR="00F84AD1">
        <w:rPr>
          <w:rFonts w:ascii="Times New Roman" w:hAnsi="Times New Roman"/>
          <w:b/>
          <w:bCs/>
        </w:rPr>
        <w:t xml:space="preserve"> </w:t>
      </w:r>
      <w:r w:rsidRPr="00F53530">
        <w:rPr>
          <w:rFonts w:ascii="Times New Roman" w:hAnsi="Times New Roman"/>
        </w:rPr>
        <w:t xml:space="preserve">La Comisión Nacional de Precios de Medicamentos y Dispositivos Médicos revisará la reducción efectiva del precio de los medicamentos como consecuencia de la exención de los bienes de que tratan las partidas 29.36, 29.41, 30.01, 30.02, 30.03, 30.04 y 30.06 del artículo 477 del </w:t>
      </w:r>
      <w:r w:rsidR="002E5AA8">
        <w:rPr>
          <w:rFonts w:ascii="Times New Roman" w:hAnsi="Times New Roman"/>
        </w:rPr>
        <w:t>*</w:t>
      </w:r>
      <w:r w:rsidRPr="00F53530">
        <w:rPr>
          <w:rFonts w:ascii="Times New Roman" w:hAnsi="Times New Roman"/>
        </w:rPr>
        <w:t>Estatuto Tributario. Para lo anterior, se apoyará en el Sistema de Información de Precios de Medicamentos (SISMED).</w:t>
      </w:r>
    </w:p>
    <w:p w14:paraId="045A37CD" w14:textId="77777777" w:rsidR="002E5AA8" w:rsidRPr="00F53530" w:rsidRDefault="002E5AA8"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CE" w14:textId="77777777" w:rsidR="00816598" w:rsidRPr="008D36C3" w:rsidRDefault="00816598" w:rsidP="00C44821">
      <w:pPr>
        <w:spacing w:after="0" w:line="240" w:lineRule="auto"/>
        <w:rPr>
          <w:rFonts w:ascii="Times New Roman" w:hAnsi="Times New Roman"/>
          <w:b/>
          <w:highlight w:val="lightGray"/>
        </w:rPr>
      </w:pPr>
      <w:r w:rsidRPr="008D36C3">
        <w:rPr>
          <w:rFonts w:ascii="Times New Roman" w:hAnsi="Times New Roman"/>
          <w:b/>
          <w:highlight w:val="lightGray"/>
        </w:rPr>
        <w:t>DOCTRINA:</w:t>
      </w:r>
    </w:p>
    <w:p w14:paraId="045A37CF" w14:textId="6BD3ADB8" w:rsidR="00816598" w:rsidRPr="008D36C3" w:rsidRDefault="00816598" w:rsidP="00C44821">
      <w:pPr>
        <w:numPr>
          <w:ilvl w:val="0"/>
          <w:numId w:val="3"/>
        </w:numPr>
        <w:spacing w:after="0" w:line="240" w:lineRule="auto"/>
        <w:jc w:val="both"/>
        <w:rPr>
          <w:rFonts w:ascii="Times New Roman" w:hAnsi="Times New Roman"/>
          <w:highlight w:val="lightGray"/>
        </w:rPr>
      </w:pPr>
      <w:hyperlink r:id="rId18" w:history="1">
        <w:r w:rsidRPr="008D36C3">
          <w:rPr>
            <w:rStyle w:val="Hipervnculo"/>
            <w:rFonts w:ascii="Times New Roman" w:hAnsi="Times New Roman"/>
            <w:b/>
            <w:highlight w:val="lightGray"/>
          </w:rPr>
          <w:t>CONCEPTO 100208221-000207 DE 20 DE FEBRERO DE 2020</w:t>
        </w:r>
      </w:hyperlink>
      <w:r w:rsidRPr="008D36C3">
        <w:rPr>
          <w:rFonts w:ascii="Times New Roman" w:hAnsi="Times New Roman"/>
          <w:b/>
          <w:highlight w:val="lightGray"/>
        </w:rPr>
        <w:t>. DIAN.</w:t>
      </w:r>
      <w:r w:rsidRPr="008D36C3">
        <w:rPr>
          <w:rFonts w:ascii="Times New Roman" w:hAnsi="Times New Roman"/>
          <w:highlight w:val="lightGray"/>
        </w:rPr>
        <w:t xml:space="preserve"> </w:t>
      </w:r>
      <w:r w:rsidRPr="008D36C3">
        <w:rPr>
          <w:rFonts w:ascii="Times New Roman" w:hAnsi="Times New Roman"/>
          <w:i/>
          <w:highlight w:val="lightGray"/>
        </w:rPr>
        <w:t>La venta o importación de las materias primas químicas con destino a la producción de medicamentos de las posiciones 29.36, 29.41, 30.01, 30.03, 30.04 y 30.06 se encuentra gravada con el impuesto sobre las ventas a la tarifa general, salvo que exista disposición expresa en el marco tributario que disponga un tratamiento diferencial.</w:t>
      </w:r>
    </w:p>
    <w:p w14:paraId="045A37D0" w14:textId="35CFA2EF"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14.</w:t>
      </w:r>
      <w:r w:rsidR="00F84AD1">
        <w:rPr>
          <w:rFonts w:ascii="Times New Roman" w:hAnsi="Times New Roman"/>
          <w:b/>
          <w:bCs/>
        </w:rPr>
        <w:t xml:space="preserve"> </w:t>
      </w:r>
      <w:r w:rsidRPr="00F53530">
        <w:rPr>
          <w:rFonts w:ascii="Times New Roman" w:hAnsi="Times New Roman"/>
        </w:rPr>
        <w:t xml:space="preserve">Modifíquese el artículo 32 de la </w:t>
      </w:r>
      <w:hyperlink r:id="rId19" w:history="1">
        <w:r w:rsidRPr="00F53530">
          <w:rPr>
            <w:rStyle w:val="Hipervnculo"/>
            <w:rFonts w:ascii="Times New Roman" w:hAnsi="Times New Roman"/>
          </w:rPr>
          <w:t>Ley 1575 de 2012</w:t>
        </w:r>
      </w:hyperlink>
      <w:r w:rsidRPr="00F53530">
        <w:rPr>
          <w:rFonts w:ascii="Times New Roman" w:hAnsi="Times New Roman"/>
        </w:rPr>
        <w:t>, el cual quedará así:</w:t>
      </w:r>
    </w:p>
    <w:p w14:paraId="045A37D1" w14:textId="77777777" w:rsidR="00040448" w:rsidRPr="00F53530" w:rsidRDefault="00040448" w:rsidP="00C44821">
      <w:pPr>
        <w:spacing w:before="240" w:after="240" w:line="240" w:lineRule="auto"/>
        <w:jc w:val="both"/>
        <w:rPr>
          <w:rFonts w:ascii="Times New Roman" w:hAnsi="Times New Roman"/>
          <w:i/>
        </w:rPr>
      </w:pPr>
      <w:r w:rsidRPr="00525498">
        <w:rPr>
          <w:rFonts w:ascii="Times New Roman" w:hAnsi="Times New Roman"/>
          <w:b/>
          <w:bCs/>
          <w:i/>
        </w:rPr>
        <w:t>Artículo 32</w:t>
      </w:r>
      <w:r w:rsidR="00280B8A" w:rsidRPr="00525498">
        <w:rPr>
          <w:rFonts w:ascii="Times New Roman" w:hAnsi="Times New Roman"/>
          <w:b/>
          <w:bCs/>
          <w:i/>
        </w:rPr>
        <w:t>.</w:t>
      </w:r>
      <w:r w:rsidRPr="00525498">
        <w:rPr>
          <w:rFonts w:ascii="Times New Roman" w:hAnsi="Times New Roman"/>
          <w:b/>
          <w:bCs/>
          <w:i/>
        </w:rPr>
        <w:t xml:space="preserve"> Adquisición de equipos.</w:t>
      </w:r>
      <w:r w:rsidRPr="00F53530">
        <w:rPr>
          <w:rFonts w:ascii="Times New Roman" w:hAnsi="Times New Roman"/>
          <w:i/>
        </w:rPr>
        <w:t xml:space="preserve"> Los equipos y vehículos especializados destinados para la gestión integral del riesgo contra incendio, los preparativos y atención de rescates en todas sus modalidades y la atención de incidentes con materiales peligrosos estarán exentos del pago del impuesto de IVA, tasas o contribuciones, aranceles y nacionalización en la adquisición por compra o donación de vehículos, equipos o elementos nuevos o usados siempre y cuando el destinatario final sea Bomberos de Colombia.</w:t>
      </w:r>
    </w:p>
    <w:p w14:paraId="045A37D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Las exenciones dispuestas en el presente artículo para la adquisición por compra o donación de vehículos, equipos o elementos nuevos o usados utilizados para la gestión integral del riesgo contra incendio, los preparativos y atención de rescate a la actividad bomberil y la atención de incidentes con materiales peligrosos aplicará solamente para Bomberos de Colombia.</w:t>
      </w:r>
    </w:p>
    <w:p w14:paraId="045A37D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nacionalización y los registros que requiera el respectivo equipo se harán a nombre del cuerpo de bomberos que lo adquiera.</w:t>
      </w:r>
    </w:p>
    <w:p w14:paraId="045A37D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el caso de la donación de vehículos usados, estos no podrán tener una vida superior a diez (10) años, respecto de la fecha de su fabricación.</w:t>
      </w:r>
    </w:p>
    <w:p w14:paraId="045A37D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Así mismo los cuerpos de bomberos estarán exentos de pago de impuestos de renta y de peajes para todos los vehículos de las instituciones bomberiles debidamente acreditados e identificados con sus logos respectivos.</w:t>
      </w:r>
    </w:p>
    <w:p w14:paraId="045A37D6"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15.</w:t>
      </w:r>
      <w:r w:rsidR="00F84AD1">
        <w:rPr>
          <w:rFonts w:ascii="Times New Roman" w:hAnsi="Times New Roman"/>
          <w:b/>
          <w:bCs/>
        </w:rPr>
        <w:t xml:space="preserve"> </w:t>
      </w:r>
      <w:r w:rsidRPr="00F53530">
        <w:rPr>
          <w:rFonts w:ascii="Times New Roman" w:hAnsi="Times New Roman"/>
        </w:rPr>
        <w:t xml:space="preserve">Modifíquese el inciso 1 del artículo 486-1 del </w:t>
      </w:r>
      <w:r w:rsidR="002E5AA8">
        <w:rPr>
          <w:rFonts w:ascii="Times New Roman" w:hAnsi="Times New Roman"/>
        </w:rPr>
        <w:t>*</w:t>
      </w:r>
      <w:r w:rsidRPr="00F53530">
        <w:rPr>
          <w:rFonts w:ascii="Times New Roman" w:hAnsi="Times New Roman"/>
        </w:rPr>
        <w:t>Estatuto Tributario, el cual quedará así:</w:t>
      </w:r>
    </w:p>
    <w:p w14:paraId="045A37D7" w14:textId="77777777" w:rsidR="00040448" w:rsidRDefault="00040448" w:rsidP="00C44821">
      <w:pPr>
        <w:spacing w:before="240" w:after="240" w:line="240" w:lineRule="auto"/>
        <w:jc w:val="both"/>
        <w:rPr>
          <w:rFonts w:ascii="Times New Roman" w:hAnsi="Times New Roman"/>
          <w:i/>
        </w:rPr>
      </w:pPr>
      <w:r w:rsidRPr="00525498">
        <w:rPr>
          <w:rFonts w:ascii="Times New Roman" w:hAnsi="Times New Roman"/>
          <w:b/>
          <w:bCs/>
          <w:i/>
        </w:rPr>
        <w:t>Artículo 486-1</w:t>
      </w:r>
      <w:r w:rsidR="00280B8A" w:rsidRPr="00525498">
        <w:rPr>
          <w:rFonts w:ascii="Times New Roman" w:hAnsi="Times New Roman"/>
          <w:b/>
          <w:bCs/>
          <w:i/>
        </w:rPr>
        <w:t>.</w:t>
      </w:r>
      <w:r w:rsidRPr="00525498">
        <w:rPr>
          <w:rFonts w:ascii="Times New Roman" w:hAnsi="Times New Roman"/>
          <w:b/>
          <w:bCs/>
          <w:i/>
        </w:rPr>
        <w:t xml:space="preserve"> Determinación del impuesto en los servicios financieros</w:t>
      </w:r>
      <w:r w:rsidRPr="00F53530">
        <w:rPr>
          <w:rFonts w:ascii="Times New Roman" w:hAnsi="Times New Roman"/>
          <w:i/>
        </w:rPr>
        <w:t xml:space="preserve">. En servicios financieros, el impuesto se determina aplicando la tarifa a la base gravable, integrada en cada operación, por el valor total de las comisiones y demás remuneraciones que perciba el responsable por los servicios </w:t>
      </w:r>
      <w:r w:rsidRPr="00F53530">
        <w:rPr>
          <w:rFonts w:ascii="Times New Roman" w:hAnsi="Times New Roman"/>
          <w:i/>
        </w:rPr>
        <w:lastRenderedPageBreak/>
        <w:t>prestados, independientemente de su denominación. Lo anterior no se aplica a los servicios contemplados en los numerales 2, 16 y 23 del artículo 476 de este Estatuto, ni al servicio de seguros que seguirá rigiéndose por las disposiciones especiales contempladas en este Estatuto.</w:t>
      </w:r>
    </w:p>
    <w:p w14:paraId="045A37D8" w14:textId="77777777" w:rsidR="002E5AA8" w:rsidRPr="00F53530" w:rsidRDefault="002E5AA8"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D9"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16.</w:t>
      </w:r>
      <w:r w:rsidR="00F84AD1">
        <w:rPr>
          <w:rFonts w:ascii="Times New Roman" w:hAnsi="Times New Roman"/>
          <w:b/>
          <w:bCs/>
        </w:rPr>
        <w:t xml:space="preserve"> </w:t>
      </w:r>
      <w:r w:rsidRPr="00F53530">
        <w:rPr>
          <w:rFonts w:ascii="Times New Roman" w:hAnsi="Times New Roman"/>
        </w:rPr>
        <w:t xml:space="preserve">Modifíquese el artículo 508-1 del </w:t>
      </w:r>
      <w:r w:rsidR="002E5AA8">
        <w:rPr>
          <w:rFonts w:ascii="Times New Roman" w:hAnsi="Times New Roman"/>
        </w:rPr>
        <w:t>*</w:t>
      </w:r>
      <w:r w:rsidRPr="00F53530">
        <w:rPr>
          <w:rFonts w:ascii="Times New Roman" w:hAnsi="Times New Roman"/>
        </w:rPr>
        <w:t>Estatuto Tributario, el cual quedará así:</w:t>
      </w:r>
    </w:p>
    <w:p w14:paraId="045A37DA" w14:textId="77777777" w:rsidR="00040448" w:rsidRPr="00F53530" w:rsidRDefault="00040448" w:rsidP="00C44821">
      <w:pPr>
        <w:spacing w:before="240" w:after="240" w:line="240" w:lineRule="auto"/>
        <w:jc w:val="both"/>
        <w:rPr>
          <w:rFonts w:ascii="Times New Roman" w:hAnsi="Times New Roman"/>
          <w:i/>
        </w:rPr>
      </w:pPr>
      <w:r w:rsidRPr="00525498">
        <w:rPr>
          <w:rFonts w:ascii="Times New Roman" w:hAnsi="Times New Roman"/>
          <w:b/>
          <w:bCs/>
          <w:i/>
        </w:rPr>
        <w:t>Artículo 508-1</w:t>
      </w:r>
      <w:r w:rsidR="00280B8A" w:rsidRPr="00525498">
        <w:rPr>
          <w:rFonts w:ascii="Times New Roman" w:hAnsi="Times New Roman"/>
          <w:b/>
          <w:bCs/>
          <w:i/>
        </w:rPr>
        <w:t>.</w:t>
      </w:r>
      <w:r w:rsidRPr="00525498">
        <w:rPr>
          <w:rFonts w:ascii="Times New Roman" w:hAnsi="Times New Roman"/>
          <w:b/>
          <w:bCs/>
          <w:i/>
        </w:rPr>
        <w:t xml:space="preserve"> Cambio de régimen por la administración.</w:t>
      </w:r>
      <w:r w:rsidRPr="00F53530">
        <w:rPr>
          <w:rFonts w:ascii="Times New Roman" w:hAnsi="Times New Roman"/>
          <w:i/>
        </w:rPr>
        <w:t xml:space="preserve"> Para efectos de control tributario, </w:t>
      </w:r>
      <w:r w:rsidRPr="00145F04">
        <w:rPr>
          <w:rFonts w:ascii="Times New Roman" w:hAnsi="Times New Roman"/>
          <w:i/>
          <w:u w:val="single"/>
        </w:rPr>
        <w:t>la Administración Tributaria podrá oficiosamente reclasificar a los no responsables en responsables, cuando cuente con información objetiva que evidencie que son responsables del impuesto</w:t>
      </w:r>
      <w:r w:rsidRPr="00F53530">
        <w:rPr>
          <w:rFonts w:ascii="Times New Roman" w:hAnsi="Times New Roman"/>
          <w:i/>
        </w:rPr>
        <w:t>, entre otras circunstancias, que:</w:t>
      </w:r>
    </w:p>
    <w:p w14:paraId="045A37D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Formalmente se cambia de establecimiento de comercio, pero en la práctica sigue funcionando el mismo negocio y las ventas son iguales o superan las 3.500 UVT, o</w:t>
      </w:r>
    </w:p>
    <w:p w14:paraId="045A37D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Se fracciona la facturación entre varias personas que ocupan el mismo local comercial y la sumatoria de las mismas son iguales o superan las 3.500 UVT, o</w:t>
      </w:r>
    </w:p>
    <w:p w14:paraId="045A37D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Quienes pagan bienes o servicios reportan la existencia de operaciones que son iguales o superan las 3.500 UVT, mediante el sistema de factura electrónica emitida por el contratista cuando realiza operaciones con no responsables.</w:t>
      </w:r>
    </w:p>
    <w:p w14:paraId="045A37DE" w14:textId="77777777" w:rsidR="00040448" w:rsidRDefault="00040448" w:rsidP="00C44821">
      <w:pPr>
        <w:spacing w:before="240" w:after="240" w:line="240" w:lineRule="auto"/>
        <w:jc w:val="both"/>
        <w:rPr>
          <w:rFonts w:ascii="Times New Roman" w:hAnsi="Times New Roman"/>
          <w:i/>
        </w:rPr>
      </w:pPr>
      <w:r w:rsidRPr="00145F04">
        <w:rPr>
          <w:rFonts w:ascii="Times New Roman" w:hAnsi="Times New Roman"/>
          <w:i/>
          <w:u w:val="single"/>
        </w:rPr>
        <w:t>La decisión anterior será notificada al responsable, detallando la información objetiva que lleva a tomar la decisión</w:t>
      </w:r>
      <w:r w:rsidRPr="00F53530">
        <w:rPr>
          <w:rFonts w:ascii="Times New Roman" w:hAnsi="Times New Roman"/>
          <w:i/>
        </w:rPr>
        <w:t>. Contra la misma no procede recurso alguno y a partir del bimestre siguiente ingresará al nuevo régimen.</w:t>
      </w:r>
    </w:p>
    <w:p w14:paraId="045A37DF" w14:textId="2D5903F9" w:rsidR="002A7C23" w:rsidRPr="003E1A3F" w:rsidRDefault="002A7C23" w:rsidP="00D64DD7">
      <w:pPr>
        <w:numPr>
          <w:ilvl w:val="0"/>
          <w:numId w:val="12"/>
        </w:numPr>
        <w:spacing w:before="240" w:after="240" w:line="240" w:lineRule="auto"/>
        <w:jc w:val="both"/>
        <w:rPr>
          <w:rFonts w:ascii="Times New Roman" w:hAnsi="Times New Roman"/>
          <w:bCs/>
          <w:highlight w:val="cyan"/>
        </w:rPr>
      </w:pPr>
      <w:r w:rsidRPr="003E1A3F">
        <w:rPr>
          <w:rFonts w:ascii="Times New Roman" w:hAnsi="Times New Roman"/>
          <w:bCs/>
          <w:highlight w:val="cyan"/>
        </w:rPr>
        <w:t>Aparte</w:t>
      </w:r>
      <w:r w:rsidR="008355B4">
        <w:rPr>
          <w:rFonts w:ascii="Times New Roman" w:hAnsi="Times New Roman"/>
          <w:bCs/>
          <w:highlight w:val="cyan"/>
        </w:rPr>
        <w:t>s</w:t>
      </w:r>
      <w:r w:rsidRPr="003E1A3F">
        <w:rPr>
          <w:rFonts w:ascii="Times New Roman" w:hAnsi="Times New Roman"/>
          <w:bCs/>
          <w:highlight w:val="cyan"/>
        </w:rPr>
        <w:t xml:space="preserve"> subrayado</w:t>
      </w:r>
      <w:r w:rsidR="008355B4">
        <w:rPr>
          <w:rFonts w:ascii="Times New Roman" w:hAnsi="Times New Roman"/>
          <w:bCs/>
          <w:highlight w:val="cyan"/>
        </w:rPr>
        <w:t>s</w:t>
      </w:r>
      <w:r w:rsidRPr="003E1A3F">
        <w:rPr>
          <w:rFonts w:ascii="Times New Roman" w:hAnsi="Times New Roman"/>
          <w:bCs/>
          <w:highlight w:val="cyan"/>
        </w:rPr>
        <w:t xml:space="preserve"> de</w:t>
      </w:r>
      <w:r>
        <w:rPr>
          <w:rFonts w:ascii="Times New Roman" w:hAnsi="Times New Roman"/>
          <w:bCs/>
          <w:highlight w:val="cyan"/>
        </w:rPr>
        <w:t xml:space="preserve"> </w:t>
      </w:r>
      <w:r w:rsidRPr="003E1A3F">
        <w:rPr>
          <w:rFonts w:ascii="Times New Roman" w:hAnsi="Times New Roman"/>
          <w:bCs/>
          <w:highlight w:val="cyan"/>
        </w:rPr>
        <w:t>l</w:t>
      </w:r>
      <w:r>
        <w:rPr>
          <w:rFonts w:ascii="Times New Roman" w:hAnsi="Times New Roman"/>
          <w:bCs/>
          <w:highlight w:val="cyan"/>
        </w:rPr>
        <w:t>os</w:t>
      </w:r>
      <w:r w:rsidRPr="003E1A3F">
        <w:rPr>
          <w:rFonts w:ascii="Times New Roman" w:hAnsi="Times New Roman"/>
          <w:bCs/>
          <w:highlight w:val="cyan"/>
        </w:rPr>
        <w:t xml:space="preserve"> inciso</w:t>
      </w:r>
      <w:r>
        <w:rPr>
          <w:rFonts w:ascii="Times New Roman" w:hAnsi="Times New Roman"/>
          <w:bCs/>
          <w:highlight w:val="cyan"/>
        </w:rPr>
        <w:t>s</w:t>
      </w:r>
      <w:r w:rsidRPr="003E1A3F">
        <w:rPr>
          <w:rFonts w:ascii="Times New Roman" w:hAnsi="Times New Roman"/>
          <w:bCs/>
          <w:highlight w:val="cyan"/>
        </w:rPr>
        <w:t xml:space="preserve"> </w:t>
      </w:r>
      <w:r>
        <w:rPr>
          <w:rFonts w:ascii="Times New Roman" w:hAnsi="Times New Roman"/>
          <w:bCs/>
          <w:highlight w:val="cyan"/>
        </w:rPr>
        <w:t>2 y 3</w:t>
      </w:r>
      <w:r w:rsidRPr="003E1A3F">
        <w:rPr>
          <w:rFonts w:ascii="Times New Roman" w:hAnsi="Times New Roman"/>
          <w:bCs/>
          <w:highlight w:val="cyan"/>
        </w:rPr>
        <w:t xml:space="preserve"> del artículo </w:t>
      </w:r>
      <w:r>
        <w:rPr>
          <w:rFonts w:ascii="Times New Roman" w:hAnsi="Times New Roman"/>
          <w:bCs/>
          <w:highlight w:val="cyan"/>
        </w:rPr>
        <w:t>16</w:t>
      </w:r>
      <w:r w:rsidRPr="003E1A3F">
        <w:rPr>
          <w:rFonts w:ascii="Times New Roman" w:hAnsi="Times New Roman"/>
          <w:bCs/>
          <w:highlight w:val="cyan"/>
        </w:rPr>
        <w:t xml:space="preserve"> declarado</w:t>
      </w:r>
      <w:r w:rsidR="00D64DD7">
        <w:rPr>
          <w:rFonts w:ascii="Times New Roman" w:hAnsi="Times New Roman"/>
          <w:bCs/>
          <w:highlight w:val="cyan"/>
        </w:rPr>
        <w:t>s</w:t>
      </w:r>
      <w:r w:rsidRPr="003E1A3F">
        <w:rPr>
          <w:rFonts w:ascii="Times New Roman" w:hAnsi="Times New Roman"/>
          <w:bCs/>
          <w:highlight w:val="cyan"/>
        </w:rPr>
        <w:t xml:space="preserve"> </w:t>
      </w:r>
      <w:r w:rsidR="00D64DD7">
        <w:rPr>
          <w:rFonts w:ascii="Times New Roman" w:hAnsi="Times New Roman"/>
          <w:bCs/>
          <w:highlight w:val="cyan"/>
        </w:rPr>
        <w:t xml:space="preserve">CONDICIONALMENTE </w:t>
      </w:r>
      <w:r w:rsidRPr="003E1A3F">
        <w:rPr>
          <w:rFonts w:ascii="Times New Roman" w:hAnsi="Times New Roman"/>
          <w:bCs/>
          <w:highlight w:val="cyan"/>
        </w:rPr>
        <w:t>EXEQUIBLE</w:t>
      </w:r>
      <w:r w:rsidR="00D64DD7">
        <w:rPr>
          <w:rFonts w:ascii="Times New Roman" w:hAnsi="Times New Roman"/>
          <w:bCs/>
          <w:highlight w:val="cyan"/>
        </w:rPr>
        <w:t xml:space="preserve">S </w:t>
      </w:r>
      <w:r w:rsidR="00D64DD7" w:rsidRPr="00D64DD7">
        <w:rPr>
          <w:rFonts w:ascii="Times New Roman" w:hAnsi="Times New Roman"/>
          <w:bCs/>
          <w:i/>
          <w:highlight w:val="cyan"/>
        </w:rPr>
        <w:t>«en el entendido de que en la actuación previa a la decisión de reclasificación se debe garantizar el debido proceso y, en consecuencia, la intervención de los interesados, conforme al procedimiento general y ordinario previsto en el Código de Procedimiento Administrativo y de lo Contencioso Administrativo»,</w:t>
      </w:r>
      <w:r w:rsidRPr="00D64DD7">
        <w:rPr>
          <w:rFonts w:ascii="Times New Roman" w:hAnsi="Times New Roman"/>
          <w:bCs/>
          <w:highlight w:val="cyan"/>
        </w:rPr>
        <w:t xml:space="preserve"> </w:t>
      </w:r>
      <w:r w:rsidRPr="003E1A3F">
        <w:rPr>
          <w:rFonts w:ascii="Times New Roman" w:hAnsi="Times New Roman"/>
          <w:bCs/>
          <w:highlight w:val="cyan"/>
        </w:rPr>
        <w:t xml:space="preserve">por la Corte Constitucional mediante </w:t>
      </w:r>
      <w:hyperlink r:id="rId20" w:history="1">
        <w:r w:rsidRPr="00961FD8">
          <w:rPr>
            <w:rStyle w:val="Hipervnculo"/>
            <w:rFonts w:ascii="Times New Roman" w:hAnsi="Times New Roman"/>
            <w:bCs/>
            <w:highlight w:val="cyan"/>
          </w:rPr>
          <w:t>Sentencia C-040 de 25 de febrero de 2021</w:t>
        </w:r>
      </w:hyperlink>
      <w:r w:rsidRPr="003E1A3F">
        <w:rPr>
          <w:rFonts w:ascii="Times New Roman" w:hAnsi="Times New Roman"/>
          <w:bCs/>
          <w:highlight w:val="cyan"/>
        </w:rPr>
        <w:t>, Magistrado Ponente Dr. Antonio José Lizarazo Ocampo.</w:t>
      </w:r>
    </w:p>
    <w:p w14:paraId="045A37E0" w14:textId="77777777" w:rsidR="002E5AA8" w:rsidRPr="00F53530" w:rsidRDefault="002E5AA8"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E1"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17.</w:t>
      </w:r>
      <w:r w:rsidR="00F84AD1">
        <w:rPr>
          <w:rFonts w:ascii="Times New Roman" w:hAnsi="Times New Roman"/>
          <w:b/>
          <w:bCs/>
        </w:rPr>
        <w:t xml:space="preserve"> </w:t>
      </w:r>
      <w:r w:rsidRPr="00F53530">
        <w:rPr>
          <w:rFonts w:ascii="Times New Roman" w:hAnsi="Times New Roman"/>
        </w:rPr>
        <w:t xml:space="preserve">Modifíquese el artículo 508-2 del </w:t>
      </w:r>
      <w:r w:rsidR="002E5AA8">
        <w:rPr>
          <w:rFonts w:ascii="Times New Roman" w:hAnsi="Times New Roman"/>
        </w:rPr>
        <w:t>*</w:t>
      </w:r>
      <w:r w:rsidRPr="00F53530">
        <w:rPr>
          <w:rFonts w:ascii="Times New Roman" w:hAnsi="Times New Roman"/>
        </w:rPr>
        <w:t>Estatuto Tributario, el cual quedará así:</w:t>
      </w:r>
    </w:p>
    <w:p w14:paraId="045A37E2" w14:textId="77777777" w:rsidR="00040448" w:rsidRDefault="00040448" w:rsidP="00C44821">
      <w:pPr>
        <w:spacing w:before="240" w:after="240" w:line="240" w:lineRule="auto"/>
        <w:jc w:val="both"/>
        <w:rPr>
          <w:rFonts w:ascii="Times New Roman" w:hAnsi="Times New Roman"/>
          <w:i/>
        </w:rPr>
      </w:pPr>
      <w:r w:rsidRPr="00525498">
        <w:rPr>
          <w:rFonts w:ascii="Times New Roman" w:hAnsi="Times New Roman"/>
          <w:b/>
          <w:bCs/>
          <w:i/>
        </w:rPr>
        <w:t>Artículo 508-2</w:t>
      </w:r>
      <w:r w:rsidR="00280B8A" w:rsidRPr="00525498">
        <w:rPr>
          <w:rFonts w:ascii="Times New Roman" w:hAnsi="Times New Roman"/>
          <w:b/>
          <w:bCs/>
          <w:i/>
        </w:rPr>
        <w:t>.</w:t>
      </w:r>
      <w:r w:rsidRPr="00525498">
        <w:rPr>
          <w:rFonts w:ascii="Times New Roman" w:hAnsi="Times New Roman"/>
          <w:b/>
          <w:bCs/>
          <w:i/>
        </w:rPr>
        <w:t xml:space="preserve"> Tránsito a la condición de responsables del impuesto.</w:t>
      </w:r>
      <w:r w:rsidRPr="00F53530">
        <w:rPr>
          <w:rFonts w:ascii="Times New Roman" w:hAnsi="Times New Roman"/>
          <w:i/>
        </w:rPr>
        <w:t xml:space="preserve"> Los no responsables del impuesto sobre las ventas (IVA) pasarán a ser responsables a partir de la iniciación del período inmediatamente siguiente a aquel en el cual dejen de cumplir los requisitos establecidos en el parágrafo 3 del artículo 437 de este Estatuto, salvo lo previsto en el inciso 2 de dicho parágrafo, en cuyo caso deberán inscribirse previamente a la celebración del contrato correspondiente.</w:t>
      </w:r>
    </w:p>
    <w:p w14:paraId="045A37E3" w14:textId="77777777" w:rsidR="00160431" w:rsidRPr="00F53530" w:rsidRDefault="00160431" w:rsidP="00C44821">
      <w:pPr>
        <w:spacing w:before="240" w:after="240" w:line="240" w:lineRule="auto"/>
        <w:jc w:val="both"/>
        <w:rPr>
          <w:rFonts w:ascii="Times New Roman" w:hAnsi="Times New Roman"/>
          <w:i/>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7E4"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18.</w:t>
      </w:r>
      <w:r w:rsidR="00F84AD1">
        <w:rPr>
          <w:rFonts w:ascii="Times New Roman" w:hAnsi="Times New Roman"/>
          <w:b/>
          <w:bCs/>
        </w:rPr>
        <w:t xml:space="preserve"> </w:t>
      </w:r>
      <w:r w:rsidRPr="00F53530">
        <w:rPr>
          <w:rFonts w:ascii="Times New Roman" w:hAnsi="Times New Roman"/>
        </w:rPr>
        <w:t xml:space="preserve">Modifíquense los parágrafos 1, 2 y los parágrafos transitorios 1 y 2 del artículo 616-1 del </w:t>
      </w:r>
      <w:r w:rsidR="00160431">
        <w:rPr>
          <w:rFonts w:ascii="Times New Roman" w:hAnsi="Times New Roman"/>
        </w:rPr>
        <w:t>*</w:t>
      </w:r>
      <w:r w:rsidRPr="00F53530">
        <w:rPr>
          <w:rFonts w:ascii="Times New Roman" w:hAnsi="Times New Roman"/>
        </w:rPr>
        <w:t>Estatuto Tributario, y adiciónense los parágrafos 4, 5 y 6, y el parágrafo transitorio 3 al mismo artículo, los cuales quedarán así:</w:t>
      </w:r>
    </w:p>
    <w:p w14:paraId="045A37E5" w14:textId="77777777" w:rsidR="00040448" w:rsidRPr="00F53530" w:rsidRDefault="00280B8A" w:rsidP="00C44821">
      <w:pPr>
        <w:spacing w:before="240" w:after="240" w:line="240" w:lineRule="auto"/>
        <w:jc w:val="both"/>
        <w:rPr>
          <w:rFonts w:ascii="Times New Roman" w:hAnsi="Times New Roman"/>
          <w:i/>
        </w:rPr>
      </w:pPr>
      <w:r w:rsidRPr="00525498">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Todas las facturas electrónicas para su reconocimiento tributario deberán ser validadas previo a su expedición, por la Dirección de Impuestos y Aduanas Nacionales (DIAN) o por un proveedor autorizado por esta.</w:t>
      </w:r>
    </w:p>
    <w:p w14:paraId="045A37E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factura electrónica solo se entenderá expedida cuando sea validada y entregada al adquirente.</w:t>
      </w:r>
    </w:p>
    <w:p w14:paraId="045A37E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Sin perjuicio de lo anterior, cuando no pueda llevarse a cabo la validación previa de la factura electrónica, por razones tecnológicas atribuibles a la Dirección de Impuestos y Aduanas Nacionales (DIAN) o a un proveedor autorizado, el obligado a facturar está facultado para entregar al adquirente la factura electrónica sin validación previa. En estos casos, la factura se entenderá expedida con la entrega al adquiriente y deberá ser enviada a la Dirección de Impuestos y Aduanas Nacionales (DIAN) o proveedor autorizado para su validación dentro de las 48 horas siguientes, contadas a partir del momento en que se solucionen los problemas tecnológicos.</w:t>
      </w:r>
    </w:p>
    <w:p w14:paraId="045A37E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todos los casos, la responsabilidad de la entrega de la factura electrónica para su validación y la entrega al adquiriente una vez validada, corresponde al obligado a facturar.</w:t>
      </w:r>
    </w:p>
    <w:p w14:paraId="045A37E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proveedores autorizados deberán transmitir a la Administración Tributaria las facturas electrónicas que validen.</w:t>
      </w:r>
    </w:p>
    <w:p w14:paraId="045A37E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validación de las facturas electrónicas de que trata este parágrafo no excluye las amplias facultades de fiscalización y control de la Administración Tributaria.</w:t>
      </w:r>
    </w:p>
    <w:p w14:paraId="045A37EB" w14:textId="77777777" w:rsidR="00040448" w:rsidRPr="00F53530" w:rsidRDefault="00280B8A" w:rsidP="00C44821">
      <w:pPr>
        <w:spacing w:before="240" w:after="240" w:line="240" w:lineRule="auto"/>
        <w:jc w:val="both"/>
        <w:rPr>
          <w:rFonts w:ascii="Times New Roman" w:hAnsi="Times New Roman"/>
          <w:i/>
        </w:rPr>
      </w:pPr>
      <w:r w:rsidRPr="00525498">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La Dirección de Impuestos y Aduanas Nacionales (DIAN) podrá reglamentar la factura de venta y los documentos equivalentes, indicando los requisitos del artículo 617 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14:paraId="045A37E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Dirección de Impuestos y Aduanas Nacionales (DIAN) deberá adecuar su estructura, para garantizar la administración y control de la factura electrónica, así como para definir las competencias y funciones en el nivel central y seccional, para el funcionamiento de la misma.</w:t>
      </w:r>
    </w:p>
    <w:p w14:paraId="045A37ED" w14:textId="77777777" w:rsidR="00040448" w:rsidRPr="00F53530" w:rsidRDefault="00280B8A" w:rsidP="00C44821">
      <w:pPr>
        <w:spacing w:before="240" w:after="240" w:line="240" w:lineRule="auto"/>
        <w:jc w:val="both"/>
        <w:rPr>
          <w:rFonts w:ascii="Times New Roman" w:hAnsi="Times New Roman"/>
          <w:i/>
        </w:rPr>
      </w:pPr>
      <w:r w:rsidRPr="00525498">
        <w:rPr>
          <w:rFonts w:ascii="Times New Roman" w:hAnsi="Times New Roman"/>
          <w:b/>
          <w:bCs/>
          <w:i/>
        </w:rPr>
        <w:t>PARÁGRAFO 4</w:t>
      </w:r>
      <w:r w:rsidRPr="00F53530">
        <w:rPr>
          <w:rFonts w:ascii="Times New Roman" w:hAnsi="Times New Roman"/>
          <w:i/>
        </w:rPr>
        <w:t xml:space="preserve">. </w:t>
      </w:r>
      <w:r w:rsidR="00040448" w:rsidRPr="00F53530">
        <w:rPr>
          <w:rFonts w:ascii="Times New Roman" w:hAnsi="Times New Roman"/>
          <w:i/>
        </w:rPr>
        <w:t xml:space="preserve">Los documentos equivalentes generados por máquinas registradoras con sistema POS no otorgan derecho a impuestos descontables en el impuesto sobre las ventas, ni a costos y deducciones en el impuesto sobre la renta y complementarios para el adquiriente. No obstante, los </w:t>
      </w:r>
      <w:r w:rsidR="00040448" w:rsidRPr="00F53530">
        <w:rPr>
          <w:rFonts w:ascii="Times New Roman" w:hAnsi="Times New Roman"/>
          <w:i/>
        </w:rPr>
        <w:lastRenderedPageBreak/>
        <w:t>adquirientes podrán solicitar al obligado a facturar, factura de venta, cuando en virtud de su actividad económica tengan derecho a solicitar impuestos descontables, costos y deducciones.</w:t>
      </w:r>
    </w:p>
    <w:p w14:paraId="045A37EE" w14:textId="77777777" w:rsidR="00040448" w:rsidRPr="00F53530" w:rsidRDefault="00280B8A" w:rsidP="00C44821">
      <w:pPr>
        <w:spacing w:before="240" w:after="240" w:line="240" w:lineRule="auto"/>
        <w:jc w:val="both"/>
        <w:rPr>
          <w:rFonts w:ascii="Times New Roman" w:hAnsi="Times New Roman"/>
          <w:i/>
        </w:rPr>
      </w:pPr>
      <w:r w:rsidRPr="00525498">
        <w:rPr>
          <w:rFonts w:ascii="Times New Roman" w:hAnsi="Times New Roman"/>
          <w:b/>
          <w:bCs/>
          <w:i/>
        </w:rPr>
        <w:t>PARÁGRAFO 5.</w:t>
      </w:r>
      <w:r w:rsidRPr="00F53530">
        <w:rPr>
          <w:rFonts w:ascii="Times New Roman" w:hAnsi="Times New Roman"/>
          <w:i/>
        </w:rPr>
        <w:t xml:space="preserve"> </w:t>
      </w:r>
      <w:r w:rsidR="00040448" w:rsidRPr="00F53530">
        <w:rPr>
          <w:rFonts w:ascii="Times New Roman" w:hAnsi="Times New Roman"/>
          <w:i/>
        </w:rPr>
        <w:t>La plataforma de factura electrónica de la Dirección de Impuestos y Aduanas Nacionales (DIAN) incluirá el registro de las facturas electrónicas consideradas como título valor que circulen en el territorio nacional y permitirá su consulta y trazabilidad.</w:t>
      </w:r>
    </w:p>
    <w:p w14:paraId="045A37E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Las entidades autorizadas para realizar actividades de factoraje tendrán que desarrollar y adaptar sus sistemas tecnológicos a aquellos de la Dirección de Impuestos y Aduanas Nacionales (DIAN).</w:t>
      </w:r>
    </w:p>
    <w:p w14:paraId="045A37F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Gobierno nacional reglamentará la circulación de las facturas electrónicas.</w:t>
      </w:r>
    </w:p>
    <w:p w14:paraId="045A37F1" w14:textId="77777777" w:rsidR="00040448" w:rsidRPr="00F53530" w:rsidRDefault="00280B8A" w:rsidP="00C44821">
      <w:pPr>
        <w:spacing w:before="240" w:after="240" w:line="240" w:lineRule="auto"/>
        <w:jc w:val="both"/>
        <w:rPr>
          <w:rFonts w:ascii="Times New Roman" w:hAnsi="Times New Roman"/>
          <w:i/>
        </w:rPr>
      </w:pPr>
      <w:r w:rsidRPr="00525498">
        <w:rPr>
          <w:rFonts w:ascii="Times New Roman" w:hAnsi="Times New Roman"/>
          <w:b/>
          <w:bCs/>
          <w:i/>
        </w:rPr>
        <w:t>PARÁGRAFO 6.</w:t>
      </w:r>
      <w:r w:rsidRPr="00F53530">
        <w:rPr>
          <w:rFonts w:ascii="Times New Roman" w:hAnsi="Times New Roman"/>
          <w:i/>
        </w:rPr>
        <w:t xml:space="preserve"> </w:t>
      </w:r>
      <w:r w:rsidR="00040448" w:rsidRPr="00F53530">
        <w:rPr>
          <w:rFonts w:ascii="Times New Roman" w:hAnsi="Times New Roman"/>
          <w:i/>
        </w:rPr>
        <w:t>El sistema de facturación electrónica es aplicable a las operaciones de compra y venta de bienes y de servicios. Este sistema también es aplicable a otras operaciones tales como los pagos de nómina, las exportaciones, importaciones y los pagos a favor de no responsables del impuesto sobre las ventas (IVA).</w:t>
      </w:r>
    </w:p>
    <w:p w14:paraId="045A37F2" w14:textId="04A38BD1" w:rsidR="00040448" w:rsidRPr="00F53530" w:rsidRDefault="000F1C49" w:rsidP="00C44821">
      <w:pPr>
        <w:spacing w:before="240" w:after="240" w:line="240" w:lineRule="auto"/>
        <w:jc w:val="both"/>
        <w:rPr>
          <w:rFonts w:ascii="Times New Roman" w:hAnsi="Times New Roman"/>
          <w:i/>
        </w:rPr>
      </w:pPr>
      <w:r w:rsidRPr="00525498">
        <w:rPr>
          <w:rFonts w:ascii="Times New Roman" w:hAnsi="Times New Roman"/>
          <w:b/>
          <w:bCs/>
          <w:i/>
        </w:rPr>
        <w:t>PARÁGRAFO TRANSITORIO 1</w:t>
      </w:r>
      <w:r w:rsidRPr="00F53530">
        <w:rPr>
          <w:rFonts w:ascii="Times New Roman" w:hAnsi="Times New Roman"/>
          <w:i/>
        </w:rPr>
        <w:t xml:space="preserve">. </w:t>
      </w:r>
      <w:r w:rsidR="00040448" w:rsidRPr="00F53530">
        <w:rPr>
          <w:rFonts w:ascii="Times New Roman" w:hAnsi="Times New Roman"/>
          <w:i/>
        </w:rPr>
        <w:t>Los requisitos, condiciones y procedimientos establecidos en el presente artículo, serán reglamentados por el Gobierno nacional; entre tanto aplicarán las disposiciones que regulan la materia antes de la entrada en vigencia de la presente ley. Las facturas expedidas de conformidad con los artículos 1.6.1.4.1.1 al 1.6.1.4.1.21</w:t>
      </w:r>
      <w:r w:rsidR="00280B8A" w:rsidRPr="00F53530">
        <w:rPr>
          <w:rFonts w:ascii="Times New Roman" w:hAnsi="Times New Roman"/>
          <w:i/>
        </w:rPr>
        <w:t>.</w:t>
      </w:r>
      <w:r w:rsidR="00040448" w:rsidRPr="00F53530">
        <w:rPr>
          <w:rFonts w:ascii="Times New Roman" w:hAnsi="Times New Roman"/>
          <w:i/>
        </w:rPr>
        <w:t xml:space="preserve"> del </w:t>
      </w:r>
      <w:hyperlink r:id="rId21" w:history="1">
        <w:r w:rsidR="00040448" w:rsidRPr="00C5581B">
          <w:rPr>
            <w:rStyle w:val="Hipervnculo"/>
            <w:rFonts w:ascii="Times New Roman" w:hAnsi="Times New Roman"/>
            <w:i/>
          </w:rPr>
          <w:t>Decreto 1625 de 2016</w:t>
        </w:r>
      </w:hyperlink>
      <w:r w:rsidR="00040448" w:rsidRPr="00F53530">
        <w:rPr>
          <w:rFonts w:ascii="Times New Roman" w:hAnsi="Times New Roman"/>
          <w:i/>
        </w:rPr>
        <w:t xml:space="preserve"> mantienen su condición de documentos equivalentes. A partir del 1 de enero de 2020, se requerirá factura electrónica para la procedencia de impuestos descontables, y costos o gastos deducibles, de conformidad con la siguiente tabla:</w:t>
      </w:r>
    </w:p>
    <w:tbl>
      <w:tblPr>
        <w:tblW w:w="7120" w:type="dxa"/>
        <w:jc w:val="center"/>
        <w:tblCellMar>
          <w:left w:w="70" w:type="dxa"/>
          <w:right w:w="70" w:type="dxa"/>
        </w:tblCellMar>
        <w:tblLook w:val="04A0" w:firstRow="1" w:lastRow="0" w:firstColumn="1" w:lastColumn="0" w:noHBand="0" w:noVBand="1"/>
      </w:tblPr>
      <w:tblGrid>
        <w:gridCol w:w="1200"/>
        <w:gridCol w:w="5920"/>
      </w:tblGrid>
      <w:tr w:rsidR="000F1C49" w:rsidRPr="00F53530" w14:paraId="045A37F5" w14:textId="77777777" w:rsidTr="00F84AD1">
        <w:trPr>
          <w:trHeight w:val="570"/>
          <w:jc w:val="center"/>
        </w:trPr>
        <w:tc>
          <w:tcPr>
            <w:tcW w:w="1200" w:type="dxa"/>
            <w:tcBorders>
              <w:top w:val="single" w:sz="4" w:space="0" w:color="auto"/>
              <w:left w:val="single" w:sz="4" w:space="0" w:color="auto"/>
              <w:bottom w:val="single" w:sz="4" w:space="0" w:color="auto"/>
              <w:right w:val="single" w:sz="4" w:space="0" w:color="auto"/>
            </w:tcBorders>
            <w:shd w:val="clear" w:color="000000" w:fill="E6E7E8"/>
            <w:vAlign w:val="center"/>
            <w:hideMark/>
          </w:tcPr>
          <w:p w14:paraId="045A37F3" w14:textId="77777777" w:rsidR="000F1C49" w:rsidRPr="00F53530" w:rsidRDefault="000F1C49" w:rsidP="00C44821">
            <w:pPr>
              <w:spacing w:after="0" w:line="240" w:lineRule="auto"/>
              <w:ind w:firstLineChars="100" w:firstLine="221"/>
              <w:jc w:val="center"/>
              <w:rPr>
                <w:rFonts w:ascii="Times New Roman" w:eastAsia="Times New Roman" w:hAnsi="Times New Roman"/>
                <w:b/>
                <w:bCs/>
                <w:i/>
                <w:color w:val="231F20"/>
                <w:lang w:eastAsia="es-CO"/>
              </w:rPr>
            </w:pPr>
            <w:r w:rsidRPr="00F53530">
              <w:rPr>
                <w:rFonts w:ascii="Times New Roman" w:eastAsia="Times New Roman" w:hAnsi="Times New Roman"/>
                <w:b/>
                <w:bCs/>
                <w:i/>
                <w:color w:val="231F20"/>
                <w:lang w:eastAsia="es-CO"/>
              </w:rPr>
              <w:t>Año</w:t>
            </w:r>
          </w:p>
        </w:tc>
        <w:tc>
          <w:tcPr>
            <w:tcW w:w="5920" w:type="dxa"/>
            <w:tcBorders>
              <w:top w:val="single" w:sz="4" w:space="0" w:color="auto"/>
              <w:left w:val="nil"/>
              <w:bottom w:val="single" w:sz="4" w:space="0" w:color="auto"/>
              <w:right w:val="single" w:sz="4" w:space="0" w:color="auto"/>
            </w:tcBorders>
            <w:shd w:val="clear" w:color="000000" w:fill="E6E7E8"/>
            <w:vAlign w:val="center"/>
            <w:hideMark/>
          </w:tcPr>
          <w:p w14:paraId="045A37F4" w14:textId="77777777" w:rsidR="000F1C49" w:rsidRPr="00F53530" w:rsidRDefault="000F1C49" w:rsidP="00C44821">
            <w:pPr>
              <w:spacing w:after="0" w:line="240" w:lineRule="auto"/>
              <w:jc w:val="center"/>
              <w:rPr>
                <w:rFonts w:ascii="Times New Roman" w:eastAsia="Times New Roman" w:hAnsi="Times New Roman"/>
                <w:b/>
                <w:bCs/>
                <w:i/>
                <w:color w:val="231F20"/>
                <w:lang w:eastAsia="es-CO"/>
              </w:rPr>
            </w:pPr>
            <w:r w:rsidRPr="00F53530">
              <w:rPr>
                <w:rFonts w:ascii="Times New Roman" w:eastAsia="Times New Roman" w:hAnsi="Times New Roman"/>
                <w:b/>
                <w:bCs/>
                <w:i/>
                <w:color w:val="231F20"/>
                <w:lang w:eastAsia="es-CO"/>
              </w:rPr>
              <w:t>Porcentaje máximo que podrá soportarse sin factura electrónica</w:t>
            </w:r>
          </w:p>
        </w:tc>
      </w:tr>
      <w:tr w:rsidR="000F1C49" w:rsidRPr="00F53530" w14:paraId="045A37F8" w14:textId="77777777" w:rsidTr="00F84AD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45A37F6" w14:textId="77777777" w:rsidR="000F1C49" w:rsidRPr="00F53530" w:rsidRDefault="000F1C49"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2020</w:t>
            </w:r>
          </w:p>
        </w:tc>
        <w:tc>
          <w:tcPr>
            <w:tcW w:w="5920" w:type="dxa"/>
            <w:tcBorders>
              <w:top w:val="nil"/>
              <w:left w:val="nil"/>
              <w:bottom w:val="single" w:sz="4" w:space="0" w:color="auto"/>
              <w:right w:val="single" w:sz="4" w:space="0" w:color="auto"/>
            </w:tcBorders>
            <w:shd w:val="clear" w:color="auto" w:fill="auto"/>
            <w:vAlign w:val="center"/>
            <w:hideMark/>
          </w:tcPr>
          <w:p w14:paraId="045A37F7" w14:textId="77777777" w:rsidR="000F1C49" w:rsidRPr="00F53530" w:rsidRDefault="000F1C49"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30%</w:t>
            </w:r>
          </w:p>
        </w:tc>
      </w:tr>
      <w:tr w:rsidR="000F1C49" w:rsidRPr="00F53530" w14:paraId="045A37FB" w14:textId="77777777" w:rsidTr="00F84AD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45A37F9" w14:textId="77777777" w:rsidR="000F1C49" w:rsidRPr="00F53530" w:rsidRDefault="000F1C49"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2021</w:t>
            </w:r>
          </w:p>
        </w:tc>
        <w:tc>
          <w:tcPr>
            <w:tcW w:w="5920" w:type="dxa"/>
            <w:tcBorders>
              <w:top w:val="nil"/>
              <w:left w:val="nil"/>
              <w:bottom w:val="single" w:sz="4" w:space="0" w:color="auto"/>
              <w:right w:val="single" w:sz="4" w:space="0" w:color="auto"/>
            </w:tcBorders>
            <w:shd w:val="clear" w:color="auto" w:fill="auto"/>
            <w:vAlign w:val="center"/>
            <w:hideMark/>
          </w:tcPr>
          <w:p w14:paraId="045A37FA" w14:textId="77777777" w:rsidR="000F1C49" w:rsidRPr="00F53530" w:rsidRDefault="000F1C49"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20%</w:t>
            </w:r>
          </w:p>
        </w:tc>
      </w:tr>
      <w:tr w:rsidR="000F1C49" w:rsidRPr="00F53530" w14:paraId="045A37FE" w14:textId="77777777" w:rsidTr="00F84AD1">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45A37FC" w14:textId="77777777" w:rsidR="000F1C49" w:rsidRPr="00F53530" w:rsidRDefault="000F1C49"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2022</w:t>
            </w:r>
          </w:p>
        </w:tc>
        <w:tc>
          <w:tcPr>
            <w:tcW w:w="5920" w:type="dxa"/>
            <w:tcBorders>
              <w:top w:val="nil"/>
              <w:left w:val="nil"/>
              <w:bottom w:val="single" w:sz="4" w:space="0" w:color="auto"/>
              <w:right w:val="single" w:sz="4" w:space="0" w:color="auto"/>
            </w:tcBorders>
            <w:shd w:val="clear" w:color="auto" w:fill="auto"/>
            <w:vAlign w:val="center"/>
            <w:hideMark/>
          </w:tcPr>
          <w:p w14:paraId="045A37FD" w14:textId="77777777" w:rsidR="000F1C49" w:rsidRPr="00F53530" w:rsidRDefault="000F1C49"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10%</w:t>
            </w:r>
          </w:p>
        </w:tc>
      </w:tr>
    </w:tbl>
    <w:p w14:paraId="045A37FF" w14:textId="77777777" w:rsidR="00040448" w:rsidRPr="00F53530" w:rsidRDefault="000F1C49" w:rsidP="00C44821">
      <w:pPr>
        <w:spacing w:before="240" w:after="240" w:line="240" w:lineRule="auto"/>
        <w:jc w:val="both"/>
        <w:rPr>
          <w:rFonts w:ascii="Times New Roman" w:hAnsi="Times New Roman"/>
          <w:i/>
        </w:rPr>
      </w:pPr>
      <w:r w:rsidRPr="00525498">
        <w:rPr>
          <w:rFonts w:ascii="Times New Roman" w:hAnsi="Times New Roman"/>
          <w:b/>
          <w:bCs/>
          <w:i/>
        </w:rPr>
        <w:t>PARÁGRAFO TRANSITORIO 2.</w:t>
      </w:r>
      <w:r w:rsidRPr="00F53530">
        <w:rPr>
          <w:rFonts w:ascii="Times New Roman" w:hAnsi="Times New Roman"/>
          <w:i/>
        </w:rPr>
        <w:t xml:space="preserve"> </w:t>
      </w:r>
      <w:r w:rsidR="00040448" w:rsidRPr="00F53530">
        <w:rPr>
          <w:rFonts w:ascii="Times New Roman" w:hAnsi="Times New Roman"/>
          <w:i/>
        </w:rPr>
        <w:t>La Dirección de Impuestos y Aduanas Nacionales (DIAN) establecerá el calendario y los sujetos obligados a facturar que deben iniciar la implementación de la factura electrónica durante el año 2020, así como los requisitos técnicos de la factura electrónica para su aplicación específica en los casos de venta de bienes y servicios, pago de nómina, importaciones y exportaciones, pagos al exterior, operaciones de factoraje, entre otras.</w:t>
      </w:r>
    </w:p>
    <w:p w14:paraId="045A3800" w14:textId="77777777" w:rsidR="00040448" w:rsidRPr="00F53530" w:rsidRDefault="000F1C49" w:rsidP="00C44821">
      <w:pPr>
        <w:spacing w:before="240" w:after="240" w:line="240" w:lineRule="auto"/>
        <w:jc w:val="both"/>
        <w:rPr>
          <w:rFonts w:ascii="Times New Roman" w:hAnsi="Times New Roman"/>
          <w:i/>
        </w:rPr>
      </w:pPr>
      <w:r w:rsidRPr="00525498">
        <w:rPr>
          <w:rFonts w:ascii="Times New Roman" w:hAnsi="Times New Roman"/>
          <w:b/>
          <w:bCs/>
          <w:i/>
        </w:rPr>
        <w:t>PARÁGRAFO TRANSITORIO 3.</w:t>
      </w:r>
      <w:r w:rsidRPr="00F53530">
        <w:rPr>
          <w:rFonts w:ascii="Times New Roman" w:hAnsi="Times New Roman"/>
          <w:i/>
        </w:rPr>
        <w:t xml:space="preserve"> </w:t>
      </w:r>
      <w:r w:rsidR="00040448" w:rsidRPr="00F53530">
        <w:rPr>
          <w:rFonts w:ascii="Times New Roman" w:hAnsi="Times New Roman"/>
          <w:i/>
        </w:rPr>
        <w:t xml:space="preserve">Desde el primero de enero de 2020 y hasta el 31 de marzo de 2020, quienes estando obligados a expedir factura electrónica incumplan con dicha obligación, no serán sujeto de las sanciones correspondientes previstas en el </w:t>
      </w:r>
      <w:r w:rsidR="00160431">
        <w:rPr>
          <w:rFonts w:ascii="Times New Roman" w:hAnsi="Times New Roman"/>
          <w:i/>
        </w:rPr>
        <w:t>*</w:t>
      </w:r>
      <w:r w:rsidR="00040448" w:rsidRPr="00F53530">
        <w:rPr>
          <w:rFonts w:ascii="Times New Roman" w:hAnsi="Times New Roman"/>
          <w:i/>
        </w:rPr>
        <w:t>Estatuto Tributario, siempre y cuando cumplan con las siguientes condiciones:</w:t>
      </w:r>
    </w:p>
    <w:p w14:paraId="045A380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Expedir factura y/o documentos equivalentes y/o sustitutivos vigentes, por los métodos tradicionales diferentes al electrónico.</w:t>
      </w:r>
    </w:p>
    <w:p w14:paraId="045A380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Demostrar que la razón por la cual no emitieron facturación electrónica obedece a: i) impedimento tecnológico; o ii) por razones de inconveniencia comercial justificada.</w:t>
      </w:r>
    </w:p>
    <w:p w14:paraId="045A3803"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La Dirección de Impuestos y Aduanas Nacionales (DIAN) podrá establecer los requisitos para que las anteriores condiciones se entiendan cumplidas.</w:t>
      </w:r>
    </w:p>
    <w:p w14:paraId="045A3804" w14:textId="77777777" w:rsidR="00160431" w:rsidRPr="00F53530" w:rsidRDefault="00160431" w:rsidP="00C44821">
      <w:pPr>
        <w:spacing w:before="240" w:after="240" w:line="240" w:lineRule="auto"/>
        <w:jc w:val="both"/>
        <w:rPr>
          <w:rFonts w:ascii="Times New Roman" w:hAnsi="Times New Roman"/>
          <w:i/>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05"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19.</w:t>
      </w:r>
      <w:r w:rsidR="00F84AD1">
        <w:rPr>
          <w:rFonts w:ascii="Times New Roman" w:hAnsi="Times New Roman"/>
          <w:b/>
          <w:bCs/>
        </w:rPr>
        <w:t xml:space="preserve"> </w:t>
      </w:r>
      <w:r w:rsidRPr="00F53530">
        <w:rPr>
          <w:rFonts w:ascii="Times New Roman" w:hAnsi="Times New Roman"/>
        </w:rPr>
        <w:t xml:space="preserve">Modifíquese el artículo 616-4 al </w:t>
      </w:r>
      <w:r w:rsidR="00160431">
        <w:rPr>
          <w:rFonts w:ascii="Times New Roman" w:hAnsi="Times New Roman"/>
        </w:rPr>
        <w:t>*</w:t>
      </w:r>
      <w:r w:rsidRPr="00F53530">
        <w:rPr>
          <w:rFonts w:ascii="Times New Roman" w:hAnsi="Times New Roman"/>
        </w:rPr>
        <w:t>Estatuto Tributario, el cual quedará así:</w:t>
      </w:r>
    </w:p>
    <w:p w14:paraId="045A3806" w14:textId="77777777" w:rsidR="00040448" w:rsidRPr="00F53530" w:rsidRDefault="00040448" w:rsidP="00C44821">
      <w:pPr>
        <w:spacing w:before="240" w:after="240" w:line="240" w:lineRule="auto"/>
        <w:jc w:val="both"/>
        <w:rPr>
          <w:rFonts w:ascii="Times New Roman" w:hAnsi="Times New Roman"/>
          <w:i/>
        </w:rPr>
      </w:pPr>
      <w:r w:rsidRPr="00D362BA">
        <w:rPr>
          <w:rFonts w:ascii="Times New Roman" w:hAnsi="Times New Roman"/>
          <w:b/>
          <w:bCs/>
          <w:i/>
        </w:rPr>
        <w:t>Artículo 616-4 Proveedores tecnológicos, obligaciones e infracciones</w:t>
      </w:r>
      <w:r w:rsidRPr="00F53530">
        <w:rPr>
          <w:rFonts w:ascii="Times New Roman" w:hAnsi="Times New Roman"/>
          <w:i/>
        </w:rPr>
        <w:t>. Será proveedor tecnológico, la persona jurídica habilitada para generar, entregar y/o transmitir la factura electrónica que cumpla con las condiciones y requisitos que señale el Gobierno nacional. La Administración Tributaria, mediante resolución motivada, habilitará como proveedor tecnológico a quienes cumplan las condiciones y requisitos que sean establecidos.</w:t>
      </w:r>
    </w:p>
    <w:p w14:paraId="045A380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Son obligaciones e infracciones de los proveedores tecnológicos las siguientes:</w:t>
      </w:r>
    </w:p>
    <w:p w14:paraId="045A380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Los proveedores tecnológicos, deberán cumplir las siguientes obligaciones:</w:t>
      </w:r>
    </w:p>
    <w:p w14:paraId="045A380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Generar y entregar facturas electrónicas atendiendo los términos, requisitos y características exigidos.</w:t>
      </w:r>
    </w:p>
    <w:p w14:paraId="045A380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Transmitir para validación a la Dirección de Impuestos y Aduanas Nacionales (DIAN) o a un proveedor autorizado por ésta, las facturas electrónicas generadas, atendiendo los términos, requisitos y características exigidos.</w:t>
      </w:r>
    </w:p>
    <w:p w14:paraId="045A380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Cumplir las condiciones y niveles de servicio que para el efecto señale la Dirección de Impuestos y Aduanas Nacionales (DIAN).</w:t>
      </w:r>
    </w:p>
    <w:p w14:paraId="045A380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d) Garantizar y atender las disposiciones jurídicas relacionadas con la confidencialidad, integridad y reserva de la información.</w:t>
      </w:r>
    </w:p>
    <w:p w14:paraId="045A380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 Mantener, durante la vigencia de la habilitación, las condiciones y requisitos exigidos para ser proveedor tecnológico.</w:t>
      </w:r>
    </w:p>
    <w:p w14:paraId="045A380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f) 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w:t>
      </w:r>
    </w:p>
    <w:p w14:paraId="045A380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g)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14:paraId="045A381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h) Garantizar la disponibilidad de los servicios de infraestructura tecnológica que soportan la operación como proveedor tecnológico.</w:t>
      </w:r>
    </w:p>
    <w:p w14:paraId="045A381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i) Garantizar la fácil interoperabilidad con otros proveedores tecnológicos y obligados a facturar electrónicamente, de acuerdo con lo señalado por la Dirección de Impuestos y Aduanas Nacionales (DIAN).</w:t>
      </w:r>
    </w:p>
    <w:p w14:paraId="045A381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Los proveedores tecnológicos, incurrirán en infracción tributaria cuando realicen cualquiera de las siguientes conductas:</w:t>
      </w:r>
    </w:p>
    <w:p w14:paraId="045A381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a) No trasmitir a la Dirección de Impuestos y Aduanas Nacionales (DIAN) las facturas generadas y entregadas, ya sean propias o de sus clientes.</w:t>
      </w:r>
    </w:p>
    <w:p w14:paraId="045A381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Generar y entregar facturas electrónicas sin el cumplimiento de los términos, requisitos y mecanismos técnicos e informáticos exigidos.</w:t>
      </w:r>
    </w:p>
    <w:p w14:paraId="045A381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Incumplir las condiciones y niveles de servicio que para el efecto señale la Dirección de Impuestos y Aduanas Nacionales (DIAN).</w:t>
      </w:r>
    </w:p>
    <w:p w14:paraId="045A381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d) Transmitir para validación a la Dirección de Impuestos y Aduanas Nacionales (DIAN), o a un proveedor autorizado por ésta las facturas electrónicas generadas sin el cumplimiento de los términos, requisitos y mecanismos técnicos e informáticos exigidos.</w:t>
      </w:r>
    </w:p>
    <w:p w14:paraId="045A381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 Violar las disposiciones jurídicas relacionadas con la confidencialidad y reserva de la información.</w:t>
      </w:r>
    </w:p>
    <w:p w14:paraId="045A381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f) Haber obtenido la habilitación como proveedor tecnológico, mediante la utilización de medios y soportes fraudulentos.</w:t>
      </w:r>
    </w:p>
    <w:p w14:paraId="045A381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g) No mantener durante la vigencia de la habilitación alguna de las condiciones y requisitos exigidos para ser proveedor tecnológico.</w:t>
      </w:r>
    </w:p>
    <w:p w14:paraId="045A381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h) Utilizar maniobras fraudulentas o engañosas en la generación, entrega y/o transmisión de la factura electrónica, que resulten en operaciones inexistentes, inexactas, simuladas, ficticias, las cuales sirvan como instrumento de evasión y aminoración de la carga tributaria.</w:t>
      </w:r>
    </w:p>
    <w:p w14:paraId="045A381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i) No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14:paraId="045A381C"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j) No garantizar la fácil interoperabilidad con otros proveedores tecnológicos y obligados a facturar electrónicamente, de acuerdo con lo señalado por la Dirección de Impuestos y Aduanas Nacionales (DIAN).</w:t>
      </w:r>
    </w:p>
    <w:p w14:paraId="045A381D" w14:textId="77777777" w:rsidR="00160431" w:rsidRPr="00F53530" w:rsidRDefault="00160431"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1E"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20.</w:t>
      </w:r>
      <w:r w:rsidR="00F84AD1">
        <w:rPr>
          <w:rFonts w:ascii="Times New Roman" w:hAnsi="Times New Roman"/>
          <w:b/>
          <w:bCs/>
        </w:rPr>
        <w:t xml:space="preserve"> </w:t>
      </w:r>
      <w:r w:rsidRPr="00F53530">
        <w:rPr>
          <w:rFonts w:ascii="Times New Roman" w:hAnsi="Times New Roman"/>
        </w:rPr>
        <w:t>Elimínense todas las referencias al régimen simplificado del impuesto a las ventas y del impuesto nacional al consumo. Las normas que se refieran al régimen común y al régimen simplificado, se entenderán referidas al régimen de responsabilidad del impuesto sobre las ventas (IVA).</w:t>
      </w:r>
    </w:p>
    <w:p w14:paraId="045A381F"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21. COMPENSACIÓN DE IVA A FAVOR DE LA POBLACIÓN MÁS VULNERABLE PARA LA EQUIDAD DEL SISTEMA TRIBUTARIO.</w:t>
      </w:r>
      <w:r w:rsidR="00F84AD1">
        <w:rPr>
          <w:rFonts w:ascii="Times New Roman" w:hAnsi="Times New Roman"/>
          <w:b/>
          <w:bCs/>
        </w:rPr>
        <w:t xml:space="preserve"> </w:t>
      </w:r>
      <w:r w:rsidRPr="00F53530">
        <w:rPr>
          <w:rFonts w:ascii="Times New Roman" w:hAnsi="Times New Roman"/>
        </w:rPr>
        <w:t>Créase a partir del año 2020 una compensación a favor de la población más vulnerable para generar mayor equidad en el sistema del impuesto sobre las ventas (IVA), la cual se implementará gradualmente en los términos que defina el Gobierno nacional.</w:t>
      </w:r>
    </w:p>
    <w:p w14:paraId="045A3820"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lastRenderedPageBreak/>
        <w:t>Esta compensación corresponderá a una suma fija en pesos, que el Gobierno nacional definirá teniendo en cuenta el IVA que en promedio pagan los hogares de menores ingresos, la cual será transferida bimestralmente.</w:t>
      </w:r>
    </w:p>
    <w:p w14:paraId="045A3821"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Los beneficiarios de la compensación serán las personas más vulnerables determinadas por el Ministerio de Hacienda y Crédito Público mediante resolución, de conformidad con la metodología de focalización que defina el Departamento Nacional de Planeación (DNP). Para tal efecto, el Departamento Nacional de Planeación (DNP) podrá tener en cuenta aspectos tales como la situación de pobreza y de pobreza extrema y podrá considerar el </w:t>
      </w:r>
      <w:r w:rsidR="00317417">
        <w:rPr>
          <w:rFonts w:ascii="Times New Roman" w:hAnsi="Times New Roman"/>
        </w:rPr>
        <w:t>SISBÉN</w:t>
      </w:r>
      <w:r w:rsidR="00317417" w:rsidRPr="00F53530">
        <w:rPr>
          <w:rFonts w:ascii="Times New Roman" w:hAnsi="Times New Roman"/>
        </w:rPr>
        <w:t xml:space="preserve"> </w:t>
      </w:r>
      <w:r w:rsidRPr="00F53530">
        <w:rPr>
          <w:rFonts w:ascii="Times New Roman" w:hAnsi="Times New Roman"/>
        </w:rPr>
        <w:t>o el instrumento que haga sus veces.</w:t>
      </w:r>
    </w:p>
    <w:p w14:paraId="045A3822"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El Gobierno nacional hará uso de los programas de asistencia a la población vulnerable para la canalización de los recursos y podrá definir los mecanismos para hacer efectiva la compensación y controlar su uso adecuado. También podrá realizar evaluaciones del impacto de esta medida.</w:t>
      </w:r>
    </w:p>
    <w:p w14:paraId="045A3823" w14:textId="77777777" w:rsidR="00040448" w:rsidRPr="00F53530" w:rsidRDefault="00280B8A" w:rsidP="00C44821">
      <w:pPr>
        <w:spacing w:before="240" w:after="240" w:line="240" w:lineRule="auto"/>
        <w:jc w:val="both"/>
        <w:rPr>
          <w:rFonts w:ascii="Times New Roman" w:hAnsi="Times New Roman"/>
        </w:rPr>
      </w:pPr>
      <w:r w:rsidRPr="00F84AD1">
        <w:rPr>
          <w:rFonts w:ascii="Times New Roman" w:hAnsi="Times New Roman"/>
          <w:b/>
          <w:bCs/>
        </w:rPr>
        <w:t>PARÁGRAFO.</w:t>
      </w:r>
      <w:r w:rsidR="00A03C6F" w:rsidRPr="00F53530">
        <w:rPr>
          <w:rFonts w:ascii="Times New Roman" w:hAnsi="Times New Roman"/>
        </w:rPr>
        <w:t xml:space="preserve"> </w:t>
      </w:r>
      <w:r w:rsidR="00040448" w:rsidRPr="00F53530">
        <w:rPr>
          <w:rFonts w:ascii="Times New Roman" w:hAnsi="Times New Roman"/>
        </w:rPr>
        <w:t>Las transferencias de recursos requeridas para la ejecución de los programas no causarán el impuesto a las ventas (IVA), y estarán exentas del Gravamen a los Movimientos Financieros (GMF).</w:t>
      </w:r>
    </w:p>
    <w:p w14:paraId="045A3824" w14:textId="77777777" w:rsidR="00040448" w:rsidRDefault="00280B8A" w:rsidP="00C44821">
      <w:pPr>
        <w:spacing w:before="240" w:after="240" w:line="240" w:lineRule="auto"/>
        <w:jc w:val="both"/>
        <w:rPr>
          <w:rFonts w:ascii="Times New Roman" w:hAnsi="Times New Roman"/>
        </w:rPr>
      </w:pPr>
      <w:r w:rsidRPr="00F84AD1">
        <w:rPr>
          <w:rFonts w:ascii="Times New Roman" w:hAnsi="Times New Roman"/>
          <w:b/>
          <w:bCs/>
        </w:rPr>
        <w:t>PARÁGRAFO TRANSITORIO.</w:t>
      </w:r>
      <w:r w:rsidRPr="00F53530">
        <w:rPr>
          <w:rFonts w:ascii="Times New Roman" w:hAnsi="Times New Roman"/>
        </w:rPr>
        <w:t xml:space="preserve"> </w:t>
      </w:r>
      <w:r w:rsidR="00040448" w:rsidRPr="00F53530">
        <w:rPr>
          <w:rFonts w:ascii="Times New Roman" w:hAnsi="Times New Roman"/>
        </w:rPr>
        <w:t>Durante la vigencia fiscal del 2020 el Gobierno nacional podrá iniciar la compensación del IVA a que se refiere el presente artículo. Para tal efecto, autorícese al Ministerio de Hacienda y Crédito Público para que realice los traslados presupuestales necesarios para cumplir con dicho propósito.</w:t>
      </w:r>
    </w:p>
    <w:p w14:paraId="045A3825" w14:textId="1BF76A01" w:rsidR="004452D5" w:rsidRDefault="004452D5" w:rsidP="004452D5">
      <w:pPr>
        <w:numPr>
          <w:ilvl w:val="0"/>
          <w:numId w:val="3"/>
        </w:numPr>
        <w:spacing w:before="240" w:after="240" w:line="240" w:lineRule="auto"/>
        <w:jc w:val="both"/>
        <w:rPr>
          <w:rFonts w:ascii="Times New Roman" w:hAnsi="Times New Roman"/>
          <w:highlight w:val="yellow"/>
        </w:rPr>
      </w:pPr>
      <w:hyperlink r:id="rId22" w:history="1">
        <w:r w:rsidRPr="004557AC">
          <w:rPr>
            <w:rStyle w:val="Hipervnculo"/>
            <w:rFonts w:ascii="Times New Roman" w:hAnsi="Times New Roman"/>
            <w:b/>
            <w:highlight w:val="yellow"/>
          </w:rPr>
          <w:t>Decreto Único Reglamentario 1625 de 11 de octubre de 2016</w:t>
        </w:r>
      </w:hyperlink>
      <w:r w:rsidRPr="004557AC">
        <w:rPr>
          <w:rFonts w:ascii="Times New Roman" w:hAnsi="Times New Roman"/>
          <w:b/>
          <w:highlight w:val="yellow"/>
        </w:rPr>
        <w:t xml:space="preserve">: </w:t>
      </w:r>
      <w:r w:rsidRPr="004557AC">
        <w:rPr>
          <w:rFonts w:ascii="Times New Roman" w:hAnsi="Times New Roman"/>
          <w:highlight w:val="yellow"/>
        </w:rPr>
        <w:t>Arts. 1.3.1.19.1 al 1.3.1.19.6.</w:t>
      </w:r>
    </w:p>
    <w:p w14:paraId="045A3826" w14:textId="77777777" w:rsidR="004452D5" w:rsidRPr="00B13687" w:rsidRDefault="004452D5" w:rsidP="004452D5">
      <w:pPr>
        <w:spacing w:after="0" w:line="240" w:lineRule="auto"/>
        <w:jc w:val="both"/>
        <w:rPr>
          <w:rFonts w:ascii="Times New Roman" w:hAnsi="Times New Roman"/>
          <w:b/>
          <w:highlight w:val="yellow"/>
        </w:rPr>
      </w:pPr>
      <w:r w:rsidRPr="00B13687">
        <w:rPr>
          <w:rFonts w:ascii="Times New Roman" w:hAnsi="Times New Roman"/>
          <w:b/>
          <w:highlight w:val="yellow"/>
        </w:rPr>
        <w:t>CONCORDANCIAS:</w:t>
      </w:r>
    </w:p>
    <w:p w14:paraId="045A3827" w14:textId="6510B9C7" w:rsidR="004452D5" w:rsidRPr="00296F05" w:rsidRDefault="004452D5" w:rsidP="004452D5">
      <w:pPr>
        <w:numPr>
          <w:ilvl w:val="0"/>
          <w:numId w:val="3"/>
        </w:numPr>
        <w:spacing w:after="0" w:line="240" w:lineRule="auto"/>
        <w:jc w:val="both"/>
        <w:rPr>
          <w:rFonts w:ascii="Times New Roman" w:hAnsi="Times New Roman"/>
          <w:b/>
          <w:highlight w:val="yellow"/>
        </w:rPr>
      </w:pPr>
      <w:hyperlink r:id="rId23" w:history="1">
        <w:r w:rsidRPr="00B13687">
          <w:rPr>
            <w:rStyle w:val="Hipervnculo"/>
            <w:rFonts w:ascii="Times New Roman" w:hAnsi="Times New Roman"/>
            <w:b/>
            <w:highlight w:val="yellow"/>
          </w:rPr>
          <w:t>Decreto-Ley 458 de 22 de marzo de 2020</w:t>
        </w:r>
      </w:hyperlink>
      <w:r w:rsidRPr="00B13687">
        <w:rPr>
          <w:rFonts w:ascii="Times New Roman" w:hAnsi="Times New Roman"/>
          <w:b/>
          <w:highlight w:val="yellow"/>
        </w:rPr>
        <w:t xml:space="preserve">: </w:t>
      </w:r>
      <w:r w:rsidRPr="00B13687">
        <w:rPr>
          <w:rFonts w:ascii="Times New Roman" w:hAnsi="Times New Roman"/>
          <w:highlight w:val="yellow"/>
        </w:rPr>
        <w:t>Por el cual se adoptan medidas para los hogares en condición de pobreza en todo el territorio nacional, dentro del Estado de Emergencia Económica, Social</w:t>
      </w:r>
      <w:r w:rsidRPr="00296F05">
        <w:rPr>
          <w:rFonts w:ascii="Times New Roman" w:hAnsi="Times New Roman"/>
          <w:highlight w:val="yellow"/>
        </w:rPr>
        <w:t xml:space="preserve"> y Ecológica.</w:t>
      </w:r>
    </w:p>
    <w:p w14:paraId="045A3828" w14:textId="39495003" w:rsidR="004452D5" w:rsidRPr="00296F05" w:rsidRDefault="004452D5" w:rsidP="00A62EE7">
      <w:pPr>
        <w:numPr>
          <w:ilvl w:val="0"/>
          <w:numId w:val="3"/>
        </w:numPr>
        <w:spacing w:after="0" w:line="240" w:lineRule="auto"/>
        <w:jc w:val="both"/>
        <w:rPr>
          <w:rFonts w:ascii="Times New Roman" w:hAnsi="Times New Roman"/>
          <w:b/>
          <w:highlight w:val="yellow"/>
        </w:rPr>
      </w:pPr>
      <w:hyperlink r:id="rId24" w:history="1">
        <w:r w:rsidRPr="004B2A9B">
          <w:rPr>
            <w:rStyle w:val="Hipervnculo"/>
            <w:rFonts w:ascii="Times New Roman" w:hAnsi="Times New Roman"/>
            <w:b/>
            <w:highlight w:val="yellow"/>
          </w:rPr>
          <w:t xml:space="preserve">Resolución Departamento Nacional de Planeación No. </w:t>
        </w:r>
        <w:r w:rsidR="00317417" w:rsidRPr="004B2A9B">
          <w:rPr>
            <w:rStyle w:val="Hipervnculo"/>
            <w:rFonts w:ascii="Times New Roman" w:hAnsi="Times New Roman"/>
            <w:b/>
            <w:highlight w:val="yellow"/>
          </w:rPr>
          <w:t>356</w:t>
        </w:r>
        <w:r w:rsidRPr="004B2A9B">
          <w:rPr>
            <w:rStyle w:val="Hipervnculo"/>
            <w:rFonts w:ascii="Times New Roman" w:hAnsi="Times New Roman"/>
            <w:b/>
            <w:highlight w:val="yellow"/>
          </w:rPr>
          <w:t xml:space="preserve"> de </w:t>
        </w:r>
        <w:r w:rsidR="00317417" w:rsidRPr="004B2A9B">
          <w:rPr>
            <w:rStyle w:val="Hipervnculo"/>
            <w:rFonts w:ascii="Times New Roman" w:hAnsi="Times New Roman"/>
            <w:b/>
            <w:highlight w:val="yellow"/>
          </w:rPr>
          <w:t>18</w:t>
        </w:r>
        <w:r w:rsidRPr="004B2A9B">
          <w:rPr>
            <w:rStyle w:val="Hipervnculo"/>
            <w:rFonts w:ascii="Times New Roman" w:hAnsi="Times New Roman"/>
            <w:b/>
            <w:highlight w:val="yellow"/>
          </w:rPr>
          <w:t xml:space="preserve"> de </w:t>
        </w:r>
        <w:r w:rsidR="00317417" w:rsidRPr="004B2A9B">
          <w:rPr>
            <w:rStyle w:val="Hipervnculo"/>
            <w:rFonts w:ascii="Times New Roman" w:hAnsi="Times New Roman"/>
            <w:b/>
            <w:highlight w:val="yellow"/>
          </w:rPr>
          <w:t>febrero</w:t>
        </w:r>
        <w:r w:rsidRPr="004B2A9B">
          <w:rPr>
            <w:rStyle w:val="Hipervnculo"/>
            <w:rFonts w:ascii="Times New Roman" w:hAnsi="Times New Roman"/>
            <w:b/>
            <w:highlight w:val="yellow"/>
          </w:rPr>
          <w:t xml:space="preserve"> de 202</w:t>
        </w:r>
        <w:r w:rsidR="00317417" w:rsidRPr="004B2A9B">
          <w:rPr>
            <w:rStyle w:val="Hipervnculo"/>
            <w:rFonts w:ascii="Times New Roman" w:hAnsi="Times New Roman"/>
            <w:b/>
            <w:highlight w:val="yellow"/>
          </w:rPr>
          <w:t>2</w:t>
        </w:r>
      </w:hyperlink>
      <w:r w:rsidRPr="00296F05">
        <w:rPr>
          <w:rFonts w:ascii="Times New Roman" w:hAnsi="Times New Roman"/>
          <w:b/>
          <w:highlight w:val="yellow"/>
        </w:rPr>
        <w:t>:</w:t>
      </w:r>
      <w:r w:rsidRPr="00296F05">
        <w:rPr>
          <w:rFonts w:ascii="Times New Roman" w:hAnsi="Times New Roman"/>
          <w:highlight w:val="yellow"/>
        </w:rPr>
        <w:t xml:space="preserve"> Por la cual se adopta </w:t>
      </w:r>
      <w:r w:rsidR="00317417">
        <w:rPr>
          <w:rFonts w:ascii="Times New Roman" w:hAnsi="Times New Roman"/>
          <w:highlight w:val="yellow"/>
        </w:rPr>
        <w:t>la V. 2.0 d</w:t>
      </w:r>
      <w:r w:rsidRPr="00296F05">
        <w:rPr>
          <w:rFonts w:ascii="Times New Roman" w:hAnsi="Times New Roman"/>
          <w:highlight w:val="yellow"/>
        </w:rPr>
        <w:t xml:space="preserve">el Manual Operativo </w:t>
      </w:r>
      <w:r w:rsidR="002B563C">
        <w:rPr>
          <w:rFonts w:ascii="Times New Roman" w:hAnsi="Times New Roman"/>
          <w:highlight w:val="yellow"/>
        </w:rPr>
        <w:t xml:space="preserve">del </w:t>
      </w:r>
      <w:r w:rsidR="00317417">
        <w:rPr>
          <w:rFonts w:ascii="Times New Roman" w:hAnsi="Times New Roman"/>
          <w:highlight w:val="yellow"/>
        </w:rPr>
        <w:t>programa</w:t>
      </w:r>
      <w:r w:rsidRPr="00296F05">
        <w:rPr>
          <w:rFonts w:ascii="Times New Roman" w:hAnsi="Times New Roman"/>
          <w:highlight w:val="yellow"/>
        </w:rPr>
        <w:t xml:space="preserve"> de Compensación del</w:t>
      </w:r>
      <w:r w:rsidR="002B563C">
        <w:rPr>
          <w:rFonts w:ascii="Times New Roman" w:hAnsi="Times New Roman"/>
          <w:highlight w:val="yellow"/>
        </w:rPr>
        <w:t xml:space="preserve"> Impuesto sobre las Ventas</w:t>
      </w:r>
      <w:r w:rsidRPr="00296F05">
        <w:rPr>
          <w:rFonts w:ascii="Times New Roman" w:hAnsi="Times New Roman"/>
          <w:highlight w:val="yellow"/>
        </w:rPr>
        <w:t xml:space="preserve"> </w:t>
      </w:r>
      <w:r w:rsidR="002B563C">
        <w:rPr>
          <w:rFonts w:ascii="Times New Roman" w:hAnsi="Times New Roman"/>
          <w:highlight w:val="yellow"/>
        </w:rPr>
        <w:t>(</w:t>
      </w:r>
      <w:r w:rsidRPr="00296F05">
        <w:rPr>
          <w:rFonts w:ascii="Times New Roman" w:hAnsi="Times New Roman"/>
          <w:highlight w:val="yellow"/>
        </w:rPr>
        <w:t>IVA</w:t>
      </w:r>
      <w:r w:rsidR="002B563C">
        <w:rPr>
          <w:rFonts w:ascii="Times New Roman" w:hAnsi="Times New Roman"/>
          <w:highlight w:val="yellow"/>
        </w:rPr>
        <w:t>)</w:t>
      </w:r>
      <w:r w:rsidRPr="00296F05">
        <w:rPr>
          <w:rFonts w:ascii="Times New Roman" w:hAnsi="Times New Roman"/>
          <w:highlight w:val="yellow"/>
        </w:rPr>
        <w:t xml:space="preserve"> a </w:t>
      </w:r>
      <w:r w:rsidR="002B563C">
        <w:rPr>
          <w:rFonts w:ascii="Times New Roman" w:hAnsi="Times New Roman"/>
          <w:highlight w:val="yellow"/>
        </w:rPr>
        <w:t>favor de la población más vulnerable para la equidad del sistema tributario</w:t>
      </w:r>
      <w:r w:rsidRPr="00296F05">
        <w:rPr>
          <w:rFonts w:ascii="Times New Roman" w:hAnsi="Times New Roman"/>
          <w:highlight w:val="yellow"/>
        </w:rPr>
        <w:t>.</w:t>
      </w:r>
    </w:p>
    <w:p w14:paraId="045A3829" w14:textId="77777777" w:rsidR="004452D5" w:rsidRPr="008D36C3" w:rsidRDefault="004452D5" w:rsidP="004452D5">
      <w:pPr>
        <w:spacing w:after="0" w:line="240" w:lineRule="auto"/>
        <w:jc w:val="both"/>
        <w:rPr>
          <w:rFonts w:ascii="Times New Roman" w:hAnsi="Times New Roman"/>
          <w:b/>
          <w:highlight w:val="lightGray"/>
        </w:rPr>
      </w:pPr>
    </w:p>
    <w:p w14:paraId="045A382A" w14:textId="77777777" w:rsidR="004452D5" w:rsidRPr="008D36C3" w:rsidRDefault="004452D5" w:rsidP="004452D5">
      <w:pPr>
        <w:spacing w:after="0" w:line="240" w:lineRule="auto"/>
        <w:jc w:val="both"/>
        <w:rPr>
          <w:rFonts w:ascii="Times New Roman" w:hAnsi="Times New Roman"/>
          <w:b/>
          <w:highlight w:val="lightGray"/>
        </w:rPr>
      </w:pPr>
      <w:r w:rsidRPr="008D36C3">
        <w:rPr>
          <w:rFonts w:ascii="Times New Roman" w:hAnsi="Times New Roman"/>
          <w:b/>
          <w:highlight w:val="lightGray"/>
        </w:rPr>
        <w:t>DOCTRINA:</w:t>
      </w:r>
    </w:p>
    <w:p w14:paraId="045A382B" w14:textId="63639BBA" w:rsidR="004452D5" w:rsidRPr="008D36C3" w:rsidRDefault="004452D5" w:rsidP="004452D5">
      <w:pPr>
        <w:numPr>
          <w:ilvl w:val="0"/>
          <w:numId w:val="8"/>
        </w:numPr>
        <w:spacing w:after="0" w:line="240" w:lineRule="auto"/>
        <w:jc w:val="both"/>
        <w:rPr>
          <w:rFonts w:ascii="Times New Roman" w:hAnsi="Times New Roman"/>
          <w:b/>
          <w:highlight w:val="lightGray"/>
        </w:rPr>
      </w:pPr>
      <w:hyperlink r:id="rId25" w:history="1">
        <w:r w:rsidRPr="008D36C3">
          <w:rPr>
            <w:rStyle w:val="Hipervnculo"/>
            <w:rFonts w:ascii="Times New Roman" w:hAnsi="Times New Roman"/>
            <w:b/>
            <w:highlight w:val="lightGray"/>
          </w:rPr>
          <w:t>CONCEPTO 003453 DE 19 DE FEBRERO DE 2020</w:t>
        </w:r>
      </w:hyperlink>
      <w:r w:rsidRPr="008D36C3">
        <w:rPr>
          <w:rFonts w:ascii="Times New Roman" w:hAnsi="Times New Roman"/>
          <w:b/>
          <w:highlight w:val="lightGray"/>
        </w:rPr>
        <w:t xml:space="preserve">. DIAN. </w:t>
      </w:r>
      <w:r w:rsidRPr="008D36C3">
        <w:rPr>
          <w:rFonts w:ascii="Times New Roman" w:hAnsi="Times New Roman"/>
          <w:i/>
          <w:highlight w:val="lightGray"/>
        </w:rPr>
        <w:t>Requisitos para acceder a la compensación de IVA a favor de la población más vulnerable para la equidad del sistema tributario.</w:t>
      </w:r>
    </w:p>
    <w:p w14:paraId="045A382C" w14:textId="77777777" w:rsidR="00040448" w:rsidRPr="00F53530" w:rsidRDefault="00040448" w:rsidP="00C44821">
      <w:pPr>
        <w:pStyle w:val="Ttulo2"/>
      </w:pPr>
      <w:r w:rsidRPr="00F53530">
        <w:t>CAPÍTULO II</w:t>
      </w:r>
      <w:r w:rsidR="00F84AD1">
        <w:br/>
      </w:r>
      <w:r w:rsidRPr="00F53530">
        <w:t>EXENCIÓN ESPECIAL EN EL IMPUESTO SOBRE LAS VENTAS -- IVA</w:t>
      </w:r>
    </w:p>
    <w:p w14:paraId="045A382D" w14:textId="77777777" w:rsidR="00040448" w:rsidRDefault="00040448" w:rsidP="00C44821">
      <w:pPr>
        <w:spacing w:before="240" w:after="240" w:line="240" w:lineRule="auto"/>
        <w:jc w:val="both"/>
        <w:rPr>
          <w:rFonts w:ascii="Times New Roman" w:hAnsi="Times New Roman"/>
        </w:rPr>
      </w:pPr>
      <w:r w:rsidRPr="00F84AD1">
        <w:rPr>
          <w:rFonts w:ascii="Times New Roman" w:hAnsi="Times New Roman"/>
          <w:b/>
          <w:bCs/>
        </w:rPr>
        <w:t>ARTÍCULO 22. OBJETO.</w:t>
      </w:r>
      <w:r w:rsidR="007E79B0" w:rsidRPr="00F53530">
        <w:rPr>
          <w:rFonts w:ascii="Times New Roman" w:hAnsi="Times New Roman"/>
        </w:rPr>
        <w:t xml:space="preserve"> </w:t>
      </w:r>
      <w:r w:rsidR="007E79B0" w:rsidRPr="00F53530">
        <w:rPr>
          <w:rFonts w:ascii="Times New Roman" w:hAnsi="Times New Roman"/>
          <w:b/>
          <w:i/>
        </w:rPr>
        <w:t>(Rige a partir del 1 de julio de 2020 por disposición del inciso 2 del artículo 160 de la Ley 2010 de 27 de diciembre de 2019).</w:t>
      </w:r>
      <w:r w:rsidR="00F84AD1">
        <w:rPr>
          <w:rFonts w:ascii="Times New Roman" w:hAnsi="Times New Roman"/>
          <w:b/>
          <w:i/>
        </w:rPr>
        <w:t xml:space="preserve"> </w:t>
      </w:r>
      <w:r w:rsidRPr="00F53530">
        <w:rPr>
          <w:rFonts w:ascii="Times New Roman" w:hAnsi="Times New Roman"/>
        </w:rPr>
        <w:t>Se establece la exención del impuesto sobre las ventas (IVA) para determinados bienes corporales muebles que sean enajenados dentro del territorio nacional, de conformidad con las disposiciones consagradas en el presente Capítulo de la presente ley.</w:t>
      </w:r>
    </w:p>
    <w:p w14:paraId="045A382E" w14:textId="77777777" w:rsidR="00087A4D" w:rsidRPr="00303AC9" w:rsidRDefault="00087A4D" w:rsidP="00C44821">
      <w:pPr>
        <w:spacing w:after="0" w:line="240" w:lineRule="auto"/>
        <w:jc w:val="both"/>
        <w:rPr>
          <w:rFonts w:ascii="Times New Roman" w:hAnsi="Times New Roman"/>
          <w:b/>
          <w:highlight w:val="yellow"/>
        </w:rPr>
      </w:pPr>
      <w:r w:rsidRPr="00303AC9">
        <w:rPr>
          <w:rFonts w:ascii="Times New Roman" w:hAnsi="Times New Roman"/>
          <w:b/>
          <w:highlight w:val="yellow"/>
        </w:rPr>
        <w:t>CONCORDANCIAS:</w:t>
      </w:r>
    </w:p>
    <w:p w14:paraId="045A382F" w14:textId="0D3DC52A" w:rsidR="00087A4D" w:rsidRPr="00303AC9" w:rsidRDefault="00087A4D" w:rsidP="00C44821">
      <w:pPr>
        <w:numPr>
          <w:ilvl w:val="0"/>
          <w:numId w:val="6"/>
        </w:numPr>
        <w:spacing w:after="0" w:line="240" w:lineRule="auto"/>
        <w:jc w:val="both"/>
        <w:rPr>
          <w:rFonts w:ascii="Times New Roman" w:hAnsi="Times New Roman"/>
          <w:highlight w:val="yellow"/>
        </w:rPr>
      </w:pPr>
      <w:hyperlink r:id="rId26" w:history="1">
        <w:r w:rsidRPr="00303AC9">
          <w:rPr>
            <w:rStyle w:val="Hipervnculo"/>
            <w:rFonts w:ascii="Times New Roman" w:hAnsi="Times New Roman"/>
            <w:b/>
            <w:highlight w:val="yellow"/>
          </w:rPr>
          <w:t>Decreto-Ley 682 de 21 de mayo de 2020</w:t>
        </w:r>
      </w:hyperlink>
      <w:r w:rsidRPr="00303AC9">
        <w:rPr>
          <w:rFonts w:ascii="Times New Roman" w:hAnsi="Times New Roman"/>
          <w:b/>
          <w:highlight w:val="yellow"/>
        </w:rPr>
        <w:t xml:space="preserve">: </w:t>
      </w:r>
      <w:r w:rsidRPr="00303AC9">
        <w:rPr>
          <w:rFonts w:ascii="Times New Roman" w:hAnsi="Times New Roman"/>
          <w:highlight w:val="yellow"/>
        </w:rPr>
        <w:t>Por el cual se establece la exención especial del Impuesto sobre las Ventas para el año 2020 y se dictan otras disposiciones con el propósito de promover la reactivación de la economía colombiana, en el marco del Estado de Emergencia Económica, Social y Ecológica decretado por el Decreto 637 de 2020.</w:t>
      </w:r>
    </w:p>
    <w:p w14:paraId="045A3830"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23. DEFINICIONES.</w:t>
      </w:r>
      <w:r w:rsidR="007E79B0" w:rsidRPr="00F53530">
        <w:rPr>
          <w:rFonts w:ascii="Times New Roman" w:hAnsi="Times New Roman"/>
          <w:b/>
          <w:i/>
        </w:rPr>
        <w:t xml:space="preserve"> (Rige a partir del 1 de julio de 2020 por disposición del inciso 2 del artículo 160 de la Ley 2010 de 27 de diciembre de 2019).</w:t>
      </w:r>
      <w:r w:rsidR="00F84AD1">
        <w:rPr>
          <w:rFonts w:ascii="Times New Roman" w:hAnsi="Times New Roman"/>
          <w:b/>
          <w:i/>
        </w:rPr>
        <w:t xml:space="preserve"> </w:t>
      </w:r>
      <w:r w:rsidRPr="00F53530">
        <w:rPr>
          <w:rFonts w:ascii="Times New Roman" w:hAnsi="Times New Roman"/>
        </w:rPr>
        <w:t>Para efectos del presente Capítulo, se tendrán en cuenta las siguientes definiciones:</w:t>
      </w:r>
    </w:p>
    <w:p w14:paraId="045A3831"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1. </w:t>
      </w:r>
      <w:r w:rsidRPr="00A20E87">
        <w:rPr>
          <w:rFonts w:ascii="Times New Roman" w:hAnsi="Times New Roman"/>
          <w:b/>
        </w:rPr>
        <w:t>Complementos de vestuario.</w:t>
      </w:r>
      <w:r w:rsidRPr="00F53530">
        <w:rPr>
          <w:rFonts w:ascii="Times New Roman" w:hAnsi="Times New Roman"/>
        </w:rPr>
        <w:t xml:space="preserve"> Son aquellos complementos que acompañan el vestuario de una persona, que incluyen únicamente los morrales, maletines, bolsos de mano, carteras, gafas de sol, paraguas, pañoletas y bisutería.</w:t>
      </w:r>
    </w:p>
    <w:p w14:paraId="045A3832"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2. </w:t>
      </w:r>
      <w:r w:rsidRPr="00A20E87">
        <w:rPr>
          <w:rFonts w:ascii="Times New Roman" w:hAnsi="Times New Roman"/>
          <w:b/>
        </w:rPr>
        <w:t>Electrodomésticos.</w:t>
      </w:r>
      <w:r w:rsidRPr="00F53530">
        <w:rPr>
          <w:rFonts w:ascii="Times New Roman" w:hAnsi="Times New Roman"/>
        </w:rPr>
        <w:t xml:space="preserve"> Son los aparatos eléctricos que se utilizan en el hogar, que incluyen únicamente televisores, parlantes de uso doméstico, tabletas, refrigeradores, congeladores, lavaplatos eléctricos, máquinas de lavar y secar para el hogar, aspiradoras, enceradoras de piso, trituradores eléctricos de desperdicios, aparatos eléctricos para preparar y elaborar alimentos, máquinas de afeitar eléctricas, cepillos de dientes eléctricos y otros artículos eléctricos de cuidado personal, calentadores de agua eléctricos, secadores eléctricos, planchas eléctricas, calentadores de ambiente y ventiladores de uso doméstico, aires acondicionados, hornos eléctricos, hornos microondas, planchas para cocinar, tostadores, cafeteras o teteras eléctricas y resistencias eléctricas para calefacción.</w:t>
      </w:r>
    </w:p>
    <w:p w14:paraId="045A3833"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3. </w:t>
      </w:r>
      <w:r w:rsidRPr="007206DB">
        <w:rPr>
          <w:rFonts w:ascii="Times New Roman" w:hAnsi="Times New Roman"/>
          <w:b/>
        </w:rPr>
        <w:t>Elementos deportivos.</w:t>
      </w:r>
      <w:r w:rsidRPr="00F53530">
        <w:rPr>
          <w:rFonts w:ascii="Times New Roman" w:hAnsi="Times New Roman"/>
        </w:rPr>
        <w:t xml:space="preserve"> Son los artículos especializados para la práctica de deportes, que incluyen únicamente pelotas de caucho, bolas, balones, raquetas, bates, mazos, gafas de natación, trajes de neopreno, aletas, salvavidas, cascos, protectores de manos, codos y espinillas, y zapatos especializados para la práctica de deportes.</w:t>
      </w:r>
    </w:p>
    <w:p w14:paraId="045A3834"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4. </w:t>
      </w:r>
      <w:r w:rsidRPr="00A20E87">
        <w:rPr>
          <w:rFonts w:ascii="Times New Roman" w:hAnsi="Times New Roman"/>
          <w:b/>
        </w:rPr>
        <w:t>Juguetes y juegos.</w:t>
      </w:r>
      <w:r w:rsidRPr="00F53530">
        <w:rPr>
          <w:rFonts w:ascii="Times New Roman" w:hAnsi="Times New Roman"/>
        </w:rPr>
        <w:t xml:space="preserve"> Son los objetos para entretener y divertir a las personas, especialmente niños, que incluyen únicamente las muñecas, los muñecos que representen personajes, los animales de juguete, muñecos de peluche y de trapo, instrumentos musicales de juguete, naipes, juegos de tablero, juegos electrónicos y videojuegos, trenes eléctricos, sets de construcción, juguetes con ruedas diseñados para ser utilizados como vehículos, rompecabezas y canicas. Esta categoría no incluye bicicletas y triciclos para adultos, artículos de fiesta, carnavales y artículos recreativos, programas informáticos y softwares.</w:t>
      </w:r>
    </w:p>
    <w:p w14:paraId="045A3835"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5. </w:t>
      </w:r>
      <w:r w:rsidRPr="00A20E87">
        <w:rPr>
          <w:rFonts w:ascii="Times New Roman" w:hAnsi="Times New Roman"/>
          <w:b/>
        </w:rPr>
        <w:t>Vestuario.</w:t>
      </w:r>
      <w:r w:rsidRPr="00F53530">
        <w:rPr>
          <w:rFonts w:ascii="Times New Roman" w:hAnsi="Times New Roman"/>
        </w:rPr>
        <w:t xml:space="preserve"> Son las prendas de vestir de todo tipo, entendiéndose por cualquier pieza de vestido o calzado, sin tener en cuenta el material de elaboración. Se excluyen las materias primas.</w:t>
      </w:r>
    </w:p>
    <w:p w14:paraId="045A3836"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6. </w:t>
      </w:r>
      <w:r w:rsidRPr="00A20E87">
        <w:rPr>
          <w:rFonts w:ascii="Times New Roman" w:hAnsi="Times New Roman"/>
          <w:b/>
        </w:rPr>
        <w:t>Útiles escolares.</w:t>
      </w:r>
      <w:r w:rsidRPr="00F53530">
        <w:rPr>
          <w:rFonts w:ascii="Times New Roman" w:hAnsi="Times New Roman"/>
        </w:rPr>
        <w:t xml:space="preserve"> Son el conjunto de artículos necesarios para el desarrollo de actividades pedagógicas en el contexto escolar y universitario que incluyen únicamente cuadernos, software educativo, lápices, esferos, borradores, tajalápices, correctores, plastilina, pegantes, tijeras, y demás artículos necesarios para las actividades pedagógicas.</w:t>
      </w:r>
    </w:p>
    <w:p w14:paraId="045A3837"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24. BIENES CUBIERTOS.</w:t>
      </w:r>
      <w:r w:rsidR="007E79B0" w:rsidRPr="00F53530">
        <w:rPr>
          <w:rFonts w:ascii="Times New Roman" w:hAnsi="Times New Roman"/>
        </w:rPr>
        <w:t xml:space="preserve"> </w:t>
      </w:r>
      <w:r w:rsidR="007E79B0" w:rsidRPr="00F53530">
        <w:rPr>
          <w:rFonts w:ascii="Times New Roman" w:hAnsi="Times New Roman"/>
          <w:b/>
          <w:i/>
        </w:rPr>
        <w:t xml:space="preserve">(Rige a partir del 1 de julio de 2020 por disposición del inciso 2 del artículo 160 de la Ley 2010 de 27 de diciembre de 2019). </w:t>
      </w:r>
      <w:r w:rsidRPr="00F53530">
        <w:rPr>
          <w:rFonts w:ascii="Times New Roman" w:hAnsi="Times New Roman"/>
        </w:rPr>
        <w:t>Los bienes cubiertos por el presente Capítulo (en adelante bienes cubiertos) son aquellos que se señalan a continuación:</w:t>
      </w:r>
    </w:p>
    <w:p w14:paraId="045A3838"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1. Complementos del vestuario cuyo precio de venta por unidad sea igual o inferior a diez (10) UVT, sin incluir el impuesto sobre las ventas (IVA).</w:t>
      </w:r>
    </w:p>
    <w:p w14:paraId="045A3839"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lastRenderedPageBreak/>
        <w:t>2. Electrodomésticos cuyo precio de venta por unidad sea igual o inferior a cuarenta (40) UVT, sin incluir el impuesto sobre las ventas (IVA).</w:t>
      </w:r>
    </w:p>
    <w:p w14:paraId="045A383A"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3. Elementos deportivos cuyo precio de venta por unidad sea igual o inferior a diez (10) UVT, sin incluir el impuesto sobre las ventas (IVA).</w:t>
      </w:r>
    </w:p>
    <w:p w14:paraId="045A383B"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4. Juguetes y juegos cuyo precio de venta por unidad sea igual o inferior a cinco (5) UVT, sin incluir el impuesto sobre las ventas (IVA).</w:t>
      </w:r>
    </w:p>
    <w:p w14:paraId="045A383C"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5. Vestuario cuyo precio de venta por unidad sea igual o inferior a diez (10) UVT, sin incluir el impuesto sobre las ventas (IVA).</w:t>
      </w:r>
    </w:p>
    <w:p w14:paraId="045A383D"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6. Útiles escolares cuyo precio de venta por unidad sea igual o inferior a tres (3) UVT, sin incluir el impuesto sobre las ventas (IVA).</w:t>
      </w:r>
    </w:p>
    <w:p w14:paraId="045A383E" w14:textId="77777777" w:rsidR="005702BE" w:rsidRPr="00303AC9" w:rsidRDefault="005702BE" w:rsidP="00C44821">
      <w:pPr>
        <w:spacing w:after="0" w:line="240" w:lineRule="auto"/>
        <w:jc w:val="both"/>
        <w:rPr>
          <w:rFonts w:ascii="Times New Roman" w:hAnsi="Times New Roman"/>
          <w:b/>
          <w:highlight w:val="yellow"/>
        </w:rPr>
      </w:pPr>
      <w:r w:rsidRPr="00303AC9">
        <w:rPr>
          <w:rFonts w:ascii="Times New Roman" w:hAnsi="Times New Roman"/>
          <w:b/>
          <w:highlight w:val="yellow"/>
        </w:rPr>
        <w:t>CONCORDANCIAS:</w:t>
      </w:r>
    </w:p>
    <w:p w14:paraId="045A383F" w14:textId="683E4716" w:rsidR="005702BE" w:rsidRPr="00303AC9" w:rsidRDefault="005702BE" w:rsidP="00C44821">
      <w:pPr>
        <w:numPr>
          <w:ilvl w:val="0"/>
          <w:numId w:val="6"/>
        </w:numPr>
        <w:spacing w:after="0" w:line="240" w:lineRule="auto"/>
        <w:jc w:val="both"/>
        <w:rPr>
          <w:rFonts w:ascii="Times New Roman" w:hAnsi="Times New Roman"/>
          <w:highlight w:val="yellow"/>
        </w:rPr>
      </w:pPr>
      <w:hyperlink r:id="rId27" w:history="1">
        <w:r w:rsidRPr="00303AC9">
          <w:rPr>
            <w:rStyle w:val="Hipervnculo"/>
            <w:rFonts w:ascii="Times New Roman" w:hAnsi="Times New Roman"/>
            <w:b/>
            <w:highlight w:val="yellow"/>
          </w:rPr>
          <w:t>Decreto-Ley 682 de 21 de mayo de 2020</w:t>
        </w:r>
      </w:hyperlink>
      <w:r w:rsidRPr="00303AC9">
        <w:rPr>
          <w:rFonts w:ascii="Times New Roman" w:hAnsi="Times New Roman"/>
          <w:b/>
          <w:highlight w:val="yellow"/>
        </w:rPr>
        <w:t xml:space="preserve">: </w:t>
      </w:r>
      <w:r w:rsidRPr="00303AC9">
        <w:rPr>
          <w:rFonts w:ascii="Times New Roman" w:hAnsi="Times New Roman"/>
          <w:highlight w:val="yellow"/>
        </w:rPr>
        <w:t>Por el cual se establece la exención especial del Impuesto sobre las Ventas para el año 2020 y se dictan otras disposiciones con el propósito de promover la reactivación de la economía colombiana, en el marco del Estado de Emergencia Económica, Social y Ecológica decretado por el Decreto 637 de 2020.</w:t>
      </w:r>
    </w:p>
    <w:p w14:paraId="045A3840"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25. EXENCIÓN DE PERIODO PARA LOS BIENES CUBIERTOS</w:t>
      </w:r>
      <w:r w:rsidRPr="00F53530">
        <w:rPr>
          <w:rFonts w:ascii="Times New Roman" w:hAnsi="Times New Roman"/>
        </w:rPr>
        <w:t>.</w:t>
      </w:r>
      <w:r w:rsidR="00F10D6B" w:rsidRPr="00F53530">
        <w:rPr>
          <w:rFonts w:ascii="Times New Roman" w:hAnsi="Times New Roman"/>
          <w:b/>
          <w:i/>
        </w:rPr>
        <w:t xml:space="preserve"> (Rige a partir del 1 de julio de 2020 por disposición del inciso 2 del artículo 160 de la Ley 2010 de 27 de diciembre de 2019). </w:t>
      </w:r>
      <w:r w:rsidRPr="00F53530">
        <w:rPr>
          <w:rFonts w:ascii="Times New Roman" w:hAnsi="Times New Roman"/>
        </w:rPr>
        <w:t>Se encuentran exentos del impuesto sobre las ventas (IVA), sin derecho a devolución, los bienes cubiertos que sean enajenados en locales comerciales físicos y al detal ubicados en territorio colombiano, dentro de los periodos que defina la Dirección de Impuestos y Aduanas Nacionales mediante resolución. Dichos periodos deberán ser tres días al año.</w:t>
      </w:r>
    </w:p>
    <w:p w14:paraId="045A3841" w14:textId="77777777" w:rsidR="00040448" w:rsidRPr="00F53530" w:rsidRDefault="00280B8A" w:rsidP="00C44821">
      <w:pPr>
        <w:spacing w:before="240" w:after="240" w:line="240" w:lineRule="auto"/>
        <w:jc w:val="both"/>
        <w:rPr>
          <w:rFonts w:ascii="Times New Roman" w:hAnsi="Times New Roman"/>
        </w:rPr>
      </w:pPr>
      <w:r w:rsidRPr="00F84AD1">
        <w:rPr>
          <w:rFonts w:ascii="Times New Roman" w:hAnsi="Times New Roman"/>
          <w:b/>
          <w:bCs/>
        </w:rPr>
        <w:t>PARÁGRAFO 1.</w:t>
      </w:r>
      <w:r w:rsidRPr="00F53530">
        <w:rPr>
          <w:rFonts w:ascii="Times New Roman" w:hAnsi="Times New Roman"/>
        </w:rPr>
        <w:t xml:space="preserve"> </w:t>
      </w:r>
      <w:r w:rsidR="00040448" w:rsidRPr="00F53530">
        <w:rPr>
          <w:rFonts w:ascii="Times New Roman" w:hAnsi="Times New Roman"/>
        </w:rPr>
        <w:t xml:space="preserve">El responsable que enajene los bienes cubiertos tiene derecho a impuestos descontables en el impuesto sobre las ventas (IVA), siempre y cuando cumpla con los requisitos consagrados en el </w:t>
      </w:r>
      <w:r w:rsidR="00160431">
        <w:rPr>
          <w:rFonts w:ascii="Times New Roman" w:hAnsi="Times New Roman"/>
        </w:rPr>
        <w:t>*</w:t>
      </w:r>
      <w:r w:rsidR="00040448" w:rsidRPr="00F53530">
        <w:rPr>
          <w:rFonts w:ascii="Times New Roman" w:hAnsi="Times New Roman"/>
        </w:rPr>
        <w:t>Estatuto Tributario y, en particular, el artículo 485 de dicho Estatuto.</w:t>
      </w:r>
    </w:p>
    <w:p w14:paraId="045A3842" w14:textId="77777777" w:rsidR="00040448" w:rsidRPr="00F53530" w:rsidRDefault="00280B8A" w:rsidP="00C44821">
      <w:pPr>
        <w:spacing w:before="240" w:after="240" w:line="240" w:lineRule="auto"/>
        <w:jc w:val="both"/>
        <w:rPr>
          <w:rFonts w:ascii="Times New Roman" w:hAnsi="Times New Roman"/>
        </w:rPr>
      </w:pPr>
      <w:r w:rsidRPr="00F84AD1">
        <w:rPr>
          <w:rFonts w:ascii="Times New Roman" w:hAnsi="Times New Roman"/>
          <w:b/>
          <w:bCs/>
        </w:rPr>
        <w:t>PARÁGRAFO 2.</w:t>
      </w:r>
      <w:r w:rsidR="00A03C6F" w:rsidRPr="00F53530">
        <w:rPr>
          <w:rFonts w:ascii="Times New Roman" w:hAnsi="Times New Roman"/>
        </w:rPr>
        <w:t xml:space="preserve"> </w:t>
      </w:r>
      <w:r w:rsidR="00040448" w:rsidRPr="00F53530">
        <w:rPr>
          <w:rFonts w:ascii="Times New Roman" w:hAnsi="Times New Roman"/>
        </w:rPr>
        <w:t xml:space="preserve">Los bienes cubiertos que se encuentran excluidos o exentos del impuesto sobre las ventas (IVA), de conformidad con el </w:t>
      </w:r>
      <w:r w:rsidR="00160431">
        <w:rPr>
          <w:rFonts w:ascii="Times New Roman" w:hAnsi="Times New Roman"/>
        </w:rPr>
        <w:t>*</w:t>
      </w:r>
      <w:r w:rsidR="00040448" w:rsidRPr="00F53530">
        <w:rPr>
          <w:rFonts w:ascii="Times New Roman" w:hAnsi="Times New Roman"/>
        </w:rPr>
        <w:t>Estatuto Tributario, mantendrán dicha condición y todas sus características durante los periodos de que trata este artículo.</w:t>
      </w:r>
    </w:p>
    <w:p w14:paraId="045A3843" w14:textId="77777777" w:rsidR="00040448" w:rsidRDefault="00280B8A" w:rsidP="00C44821">
      <w:pPr>
        <w:spacing w:before="240" w:after="240" w:line="240" w:lineRule="auto"/>
        <w:jc w:val="both"/>
        <w:rPr>
          <w:rFonts w:ascii="Times New Roman" w:hAnsi="Times New Roman"/>
        </w:rPr>
      </w:pPr>
      <w:r w:rsidRPr="00F84AD1">
        <w:rPr>
          <w:rFonts w:ascii="Times New Roman" w:hAnsi="Times New Roman"/>
          <w:b/>
          <w:bCs/>
        </w:rPr>
        <w:t>PARÁGRAFO 3.</w:t>
      </w:r>
      <w:r w:rsidR="00A03C6F" w:rsidRPr="00F53530">
        <w:rPr>
          <w:rFonts w:ascii="Times New Roman" w:hAnsi="Times New Roman"/>
        </w:rPr>
        <w:t xml:space="preserve"> </w:t>
      </w:r>
      <w:r w:rsidR="00040448" w:rsidRPr="00F53530">
        <w:rPr>
          <w:rFonts w:ascii="Times New Roman" w:hAnsi="Times New Roman"/>
        </w:rPr>
        <w:t>Las disposiciones del presente Capítulo se rigen por la Hora Legal de Colombia.</w:t>
      </w:r>
    </w:p>
    <w:p w14:paraId="045A3844" w14:textId="77777777" w:rsidR="00160431" w:rsidRPr="00F53530" w:rsidRDefault="00160431"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45" w14:textId="77777777" w:rsidR="005702BE" w:rsidRPr="00303AC9" w:rsidRDefault="005702BE" w:rsidP="00C44821">
      <w:pPr>
        <w:spacing w:after="0" w:line="240" w:lineRule="auto"/>
        <w:jc w:val="both"/>
        <w:rPr>
          <w:rFonts w:ascii="Times New Roman" w:hAnsi="Times New Roman"/>
          <w:b/>
          <w:highlight w:val="yellow"/>
        </w:rPr>
      </w:pPr>
      <w:r w:rsidRPr="00303AC9">
        <w:rPr>
          <w:rFonts w:ascii="Times New Roman" w:hAnsi="Times New Roman"/>
          <w:b/>
          <w:highlight w:val="yellow"/>
        </w:rPr>
        <w:t>CONCORDANCIAS:</w:t>
      </w:r>
    </w:p>
    <w:p w14:paraId="045A3846" w14:textId="75300147" w:rsidR="005702BE" w:rsidRPr="00303AC9" w:rsidRDefault="005702BE" w:rsidP="00C44821">
      <w:pPr>
        <w:numPr>
          <w:ilvl w:val="0"/>
          <w:numId w:val="6"/>
        </w:numPr>
        <w:spacing w:after="0" w:line="240" w:lineRule="auto"/>
        <w:jc w:val="both"/>
        <w:rPr>
          <w:rFonts w:ascii="Times New Roman" w:hAnsi="Times New Roman"/>
          <w:highlight w:val="yellow"/>
        </w:rPr>
      </w:pPr>
      <w:hyperlink r:id="rId28" w:history="1">
        <w:r w:rsidRPr="00303AC9">
          <w:rPr>
            <w:rStyle w:val="Hipervnculo"/>
            <w:rFonts w:ascii="Times New Roman" w:hAnsi="Times New Roman"/>
            <w:b/>
            <w:highlight w:val="yellow"/>
          </w:rPr>
          <w:t>Decreto-Ley 682 de 21 de mayo de 2020</w:t>
        </w:r>
      </w:hyperlink>
      <w:r w:rsidRPr="00303AC9">
        <w:rPr>
          <w:rFonts w:ascii="Times New Roman" w:hAnsi="Times New Roman"/>
          <w:b/>
          <w:highlight w:val="yellow"/>
        </w:rPr>
        <w:t xml:space="preserve">: </w:t>
      </w:r>
      <w:r w:rsidRPr="00303AC9">
        <w:rPr>
          <w:rFonts w:ascii="Times New Roman" w:hAnsi="Times New Roman"/>
          <w:highlight w:val="yellow"/>
        </w:rPr>
        <w:t>Por el cual se establece la exención especial del Impuesto sobre las Ventas para el año 2020 y se dictan otras disposiciones con el propósito de promover la reactivación de la economía colombiana, en el marco del Estado de Emergencia Económica, Social y Ecológica decretado por el Decreto 637 de 2020.</w:t>
      </w:r>
    </w:p>
    <w:p w14:paraId="045A3847"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26. REQUISITOS PARA LA PROCEDENCIA DE LA EXENCIÓN.</w:t>
      </w:r>
      <w:r w:rsidR="00F10D6B" w:rsidRPr="00F53530">
        <w:rPr>
          <w:rFonts w:ascii="Times New Roman" w:hAnsi="Times New Roman"/>
          <w:b/>
          <w:i/>
        </w:rPr>
        <w:t xml:space="preserve"> (Rige a partir del 1 de julio de 2020 por disposición del inciso 2 del artículo 160 de la Ley 2010 de 27 de diciembre </w:t>
      </w:r>
      <w:r w:rsidR="00F10D6B" w:rsidRPr="00F53530">
        <w:rPr>
          <w:rFonts w:ascii="Times New Roman" w:hAnsi="Times New Roman"/>
          <w:b/>
          <w:i/>
        </w:rPr>
        <w:lastRenderedPageBreak/>
        <w:t>de 2019).</w:t>
      </w:r>
      <w:r w:rsidR="00E67B9F">
        <w:rPr>
          <w:rFonts w:ascii="Times New Roman" w:hAnsi="Times New Roman"/>
        </w:rPr>
        <w:t xml:space="preserve"> </w:t>
      </w:r>
      <w:r w:rsidRPr="00F53530">
        <w:rPr>
          <w:rFonts w:ascii="Times New Roman" w:hAnsi="Times New Roman"/>
        </w:rPr>
        <w:t>Adicionalmente, la exención del impuesto sobre las ventas (IVA) sobre los bienes cubiertos será aplicable, siempre y cuando se cumpla con los siguientes requisitos:</w:t>
      </w:r>
    </w:p>
    <w:p w14:paraId="045A3848" w14:textId="77777777" w:rsidR="00040448" w:rsidRPr="00F53530" w:rsidRDefault="00040448" w:rsidP="00C44821">
      <w:pPr>
        <w:spacing w:before="240" w:after="240" w:line="240" w:lineRule="auto"/>
        <w:jc w:val="both"/>
        <w:rPr>
          <w:rFonts w:ascii="Times New Roman" w:hAnsi="Times New Roman"/>
        </w:rPr>
      </w:pPr>
      <w:r w:rsidRPr="00B72B92">
        <w:rPr>
          <w:rFonts w:ascii="Times New Roman" w:hAnsi="Times New Roman"/>
          <w:b/>
          <w:bCs/>
        </w:rPr>
        <w:t>1. Responsable y adquiriente.</w:t>
      </w:r>
      <w:r w:rsidRPr="00F53530">
        <w:rPr>
          <w:rFonts w:ascii="Times New Roman" w:hAnsi="Times New Roman"/>
        </w:rPr>
        <w:t xml:space="preserve"> El responsable del impuesto sobre las ventas (IVA) solamente puede enajenar los bienes cubiertos en locales comerciales físicos y al detal ubicados en territorio colombiano, y directamente y de forma presencial, a la persona natural que sea el consumidor final de dichos bienes cubiertos.</w:t>
      </w:r>
    </w:p>
    <w:p w14:paraId="045A3849" w14:textId="77777777" w:rsidR="00040448" w:rsidRPr="00F53530" w:rsidRDefault="00040448" w:rsidP="00C44821">
      <w:pPr>
        <w:spacing w:before="240" w:after="240" w:line="240" w:lineRule="auto"/>
        <w:jc w:val="both"/>
        <w:rPr>
          <w:rFonts w:ascii="Times New Roman" w:hAnsi="Times New Roman"/>
        </w:rPr>
      </w:pPr>
      <w:r w:rsidRPr="00B72B92">
        <w:rPr>
          <w:rFonts w:ascii="Times New Roman" w:hAnsi="Times New Roman"/>
          <w:b/>
          <w:bCs/>
        </w:rPr>
        <w:t>2. Factura o documento equivalente, y entrega de los bienes cubiertos.</w:t>
      </w:r>
      <w:r w:rsidRPr="00F53530">
        <w:rPr>
          <w:rFonts w:ascii="Times New Roman" w:hAnsi="Times New Roman"/>
        </w:rPr>
        <w:t xml:space="preserve"> La obligación de expedir factura o documento equivalente debe cumplirse mediante el sistema de factura electrónica, en la cual debe identificarse al adquiriente consumidor final de dichos bienes cubiertos.</w:t>
      </w:r>
    </w:p>
    <w:p w14:paraId="045A384A"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La factura electrónica de los bienes cubiertos que sea expedida al consumidor final, debe ser emitida en alguno de los periodos de que trata el artículo 25 del presente Capítulo. En el mismo periodo en que se expide la factura electrónica, los bienes cubiertos deben ser entregados al consumidor final.</w:t>
      </w:r>
    </w:p>
    <w:p w14:paraId="045A384B" w14:textId="77777777" w:rsidR="00040448" w:rsidRPr="00F53530" w:rsidRDefault="00040448" w:rsidP="00C44821">
      <w:pPr>
        <w:spacing w:before="240" w:after="240" w:line="240" w:lineRule="auto"/>
        <w:jc w:val="both"/>
        <w:rPr>
          <w:rFonts w:ascii="Times New Roman" w:hAnsi="Times New Roman"/>
        </w:rPr>
      </w:pPr>
      <w:r w:rsidRPr="00B72B92">
        <w:rPr>
          <w:rFonts w:ascii="Times New Roman" w:hAnsi="Times New Roman"/>
          <w:b/>
          <w:bCs/>
        </w:rPr>
        <w:t xml:space="preserve">3. Forma de pago. </w:t>
      </w:r>
      <w:r w:rsidRPr="00F53530">
        <w:rPr>
          <w:rFonts w:ascii="Times New Roman" w:hAnsi="Times New Roman"/>
        </w:rPr>
        <w:t>Los pagos por concepto de venta de bienes cubiertos solamente podrán efectuarse a través de tarjetas débito, crédito, y otros mecanismos de pago electrónico entendidos como aquellos instrumentos presenciales que permitan extinguir una obligación dineraria a través de mensajes de datos en los que intervenga al menos una entidad vigilada por la Superintendencia Financiera de Colombia. La fecha del comprobante de pago o voucher por la adquisición de los bienes cubiertos deberá corresponder a la misma fecha del periodo en el cual se emite la factura electrónica.</w:t>
      </w:r>
    </w:p>
    <w:p w14:paraId="045A384C" w14:textId="77777777" w:rsidR="00040448" w:rsidRPr="00F53530" w:rsidRDefault="00040448" w:rsidP="00C44821">
      <w:pPr>
        <w:spacing w:before="240" w:after="240" w:line="240" w:lineRule="auto"/>
        <w:jc w:val="both"/>
        <w:rPr>
          <w:rFonts w:ascii="Times New Roman" w:hAnsi="Times New Roman"/>
        </w:rPr>
      </w:pPr>
      <w:r w:rsidRPr="00B72B92">
        <w:rPr>
          <w:rFonts w:ascii="Times New Roman" w:hAnsi="Times New Roman"/>
          <w:b/>
          <w:bCs/>
        </w:rPr>
        <w:t>4. Límite de unidades.</w:t>
      </w:r>
      <w:r w:rsidRPr="00F53530">
        <w:rPr>
          <w:rFonts w:ascii="Times New Roman" w:hAnsi="Times New Roman"/>
        </w:rPr>
        <w:t xml:space="preserve"> El consumidor final puede adquirir hasta tres (3) unidades del mismo bien cubierto. Son unidades de un mismo bien cubierto aquellas que tienen la misma referencia y marca.</w:t>
      </w:r>
    </w:p>
    <w:p w14:paraId="045A384D"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Cuando los bienes cubiertos se venden normalmente en pares, se entenderá que dicho par corresponde a una unidad. Por ejemplo, un par de zapatos corresponde a una unidad.</w:t>
      </w:r>
    </w:p>
    <w:p w14:paraId="045A384E" w14:textId="77777777" w:rsidR="00040448" w:rsidRPr="00F53530" w:rsidRDefault="00040448" w:rsidP="00C44821">
      <w:pPr>
        <w:spacing w:before="240" w:after="240" w:line="240" w:lineRule="auto"/>
        <w:jc w:val="both"/>
        <w:rPr>
          <w:rFonts w:ascii="Times New Roman" w:hAnsi="Times New Roman"/>
        </w:rPr>
      </w:pPr>
      <w:r w:rsidRPr="00B72B92">
        <w:rPr>
          <w:rFonts w:ascii="Times New Roman" w:hAnsi="Times New Roman"/>
          <w:b/>
          <w:bCs/>
        </w:rPr>
        <w:t>5. Precio de venta.</w:t>
      </w:r>
      <w:r w:rsidRPr="00F53530">
        <w:rPr>
          <w:rFonts w:ascii="Times New Roman" w:hAnsi="Times New Roman"/>
        </w:rPr>
        <w:t xml:space="preserve"> La Dirección de Impuestos y Aduanas Nacionales (DIAN) podrá aplicar la norma general antiabuso consagrada en el </w:t>
      </w:r>
      <w:r w:rsidR="00160431">
        <w:rPr>
          <w:rFonts w:ascii="Times New Roman" w:hAnsi="Times New Roman"/>
        </w:rPr>
        <w:t>*</w:t>
      </w:r>
      <w:r w:rsidRPr="00F53530">
        <w:rPr>
          <w:rFonts w:ascii="Times New Roman" w:hAnsi="Times New Roman"/>
        </w:rPr>
        <w:t>Estatuto Tributario en caso de manipulación de precios por parte del responsable del impuesto sobre las ventas (IVA). Lo anterior respecto a los precios de venta de los bienes cubiertos en los periodos de exención de que trata el presente Capítulo y los precios de venta de los mismos bienes en diferentes periodos.</w:t>
      </w:r>
    </w:p>
    <w:p w14:paraId="045A384F" w14:textId="77777777" w:rsidR="00B72B92" w:rsidRDefault="00040448" w:rsidP="00C44821">
      <w:pPr>
        <w:spacing w:before="240" w:after="240" w:line="240" w:lineRule="auto"/>
        <w:jc w:val="both"/>
        <w:rPr>
          <w:rFonts w:ascii="Times New Roman" w:hAnsi="Times New Roman"/>
        </w:rPr>
      </w:pPr>
      <w:r w:rsidRPr="00B72B92">
        <w:rPr>
          <w:rFonts w:ascii="Times New Roman" w:hAnsi="Times New Roman"/>
          <w:b/>
          <w:bCs/>
        </w:rPr>
        <w:t>6. Bienes cubiertos que se venden juntos.</w:t>
      </w:r>
      <w:r w:rsidRPr="00F53530">
        <w:rPr>
          <w:rFonts w:ascii="Times New Roman" w:hAnsi="Times New Roman"/>
        </w:rPr>
        <w:t xml:space="preserve"> Los bienes cubiertos que normalmente se venden en pares no se separarán con la finalidad de acceder a la exención de que trata la presente Ley. Por ejemplo, un par de zapatos no puede venderse por separado de modo que cada unidad de dicho par de zapatos se encuentre dentro de los límites consagrados en el artículo 24 del presente Capítulo</w:t>
      </w:r>
      <w:r w:rsidR="00B72B92">
        <w:rPr>
          <w:rFonts w:ascii="Times New Roman" w:hAnsi="Times New Roman"/>
        </w:rPr>
        <w:t>.</w:t>
      </w:r>
      <w:r w:rsidRPr="00F53530">
        <w:rPr>
          <w:rFonts w:ascii="Times New Roman" w:hAnsi="Times New Roman"/>
        </w:rPr>
        <w:t xml:space="preserve"> </w:t>
      </w:r>
    </w:p>
    <w:p w14:paraId="045A3850" w14:textId="77777777" w:rsidR="00040448" w:rsidRPr="00F53530" w:rsidRDefault="00280B8A" w:rsidP="00C44821">
      <w:pPr>
        <w:spacing w:before="240" w:after="240" w:line="240" w:lineRule="auto"/>
        <w:jc w:val="both"/>
        <w:rPr>
          <w:rFonts w:ascii="Times New Roman" w:hAnsi="Times New Roman"/>
        </w:rPr>
      </w:pPr>
      <w:r w:rsidRPr="00B72B92">
        <w:rPr>
          <w:rFonts w:ascii="Times New Roman" w:hAnsi="Times New Roman"/>
          <w:b/>
          <w:bCs/>
        </w:rPr>
        <w:t>PARÁGRAFO.</w:t>
      </w:r>
      <w:r w:rsidR="00A03C6F" w:rsidRPr="00F53530">
        <w:rPr>
          <w:rFonts w:ascii="Times New Roman" w:hAnsi="Times New Roman"/>
        </w:rPr>
        <w:t xml:space="preserve"> </w:t>
      </w:r>
      <w:r w:rsidR="00040448" w:rsidRPr="00F53530">
        <w:rPr>
          <w:rFonts w:ascii="Times New Roman" w:hAnsi="Times New Roman"/>
        </w:rPr>
        <w:t>Cuando se incumpla cualquiera de los requisitos consagrados en este artículo y en otras disposiciones de este Capítulo, se perderá el derecho a tratar los bienes cubiertos como exentos en el impuesto sobre las ventas (IVA) y los responsables estarán obligados a realizar las correspondientes correcciones en sus declaraciones tributarias.</w:t>
      </w:r>
    </w:p>
    <w:p w14:paraId="045A3851" w14:textId="77777777" w:rsidR="00040448" w:rsidRDefault="00040448" w:rsidP="00C44821">
      <w:pPr>
        <w:spacing w:before="240" w:after="240" w:line="240" w:lineRule="auto"/>
        <w:jc w:val="both"/>
        <w:rPr>
          <w:rFonts w:ascii="Times New Roman" w:hAnsi="Times New Roman"/>
        </w:rPr>
      </w:pPr>
      <w:r w:rsidRPr="00F53530">
        <w:rPr>
          <w:rFonts w:ascii="Times New Roman" w:hAnsi="Times New Roman"/>
        </w:rPr>
        <w:t>Lo anterior sin perjuicio de las acciones penales, y las facultades y procedimientos establecidos en el Estatuto Tributario para la investigación, determinación, control, discusión y cobro por parte de la Unidad Administrativa Especial Dirección de Impuestos y Aduanas Nacionales (DIAN), incluyendo las disposiciones en materia de abuso tributario y responsabilidad solidaria.</w:t>
      </w:r>
    </w:p>
    <w:p w14:paraId="045A3852" w14:textId="77777777" w:rsidR="00160431" w:rsidRPr="00F53530" w:rsidRDefault="00160431" w:rsidP="00C44821">
      <w:pPr>
        <w:spacing w:before="240" w:after="240" w:line="240" w:lineRule="auto"/>
        <w:jc w:val="both"/>
        <w:rPr>
          <w:rFonts w:ascii="Times New Roman" w:hAnsi="Times New Roman"/>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53" w14:textId="77777777" w:rsidR="00F53530" w:rsidRDefault="00040448" w:rsidP="00C44821">
      <w:pPr>
        <w:pStyle w:val="Ttulo2"/>
      </w:pPr>
      <w:r w:rsidRPr="00F53530">
        <w:t>CAPÍTULO III</w:t>
      </w:r>
      <w:r w:rsidR="00F84AD1">
        <w:br/>
      </w:r>
      <w:r w:rsidRPr="00F53530">
        <w:t>IMPUESTO NACIONAL AL CONSUMO</w:t>
      </w:r>
    </w:p>
    <w:p w14:paraId="045A3854"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27.</w:t>
      </w:r>
      <w:r w:rsidR="00F84AD1">
        <w:rPr>
          <w:rFonts w:ascii="Times New Roman" w:hAnsi="Times New Roman"/>
          <w:b/>
          <w:bCs/>
        </w:rPr>
        <w:t xml:space="preserve"> </w:t>
      </w:r>
      <w:r w:rsidRPr="00F53530">
        <w:rPr>
          <w:rFonts w:ascii="Times New Roman" w:hAnsi="Times New Roman"/>
        </w:rPr>
        <w:t xml:space="preserve">Modifíquese el numeral 3 al artículo 512-1 del </w:t>
      </w:r>
      <w:r w:rsidR="00160431">
        <w:rPr>
          <w:rFonts w:ascii="Times New Roman" w:hAnsi="Times New Roman"/>
        </w:rPr>
        <w:t>*</w:t>
      </w:r>
      <w:r w:rsidRPr="00F53530">
        <w:rPr>
          <w:rFonts w:ascii="Times New Roman" w:hAnsi="Times New Roman"/>
        </w:rPr>
        <w:t>Estatuto Tributario, el cual quedará así:</w:t>
      </w:r>
    </w:p>
    <w:p w14:paraId="045A3855" w14:textId="77777777" w:rsidR="00040448" w:rsidRDefault="00040448" w:rsidP="00C44821">
      <w:pPr>
        <w:spacing w:before="240" w:after="240" w:line="240" w:lineRule="auto"/>
        <w:jc w:val="both"/>
        <w:rPr>
          <w:rFonts w:ascii="Times New Roman" w:hAnsi="Times New Roman"/>
          <w:i/>
        </w:rPr>
      </w:pPr>
      <w:bookmarkStart w:id="1" w:name="_Hlk153379564"/>
      <w:r w:rsidRPr="00F53530">
        <w:rPr>
          <w:rFonts w:ascii="Times New Roman" w:hAnsi="Times New Roman"/>
          <w:i/>
        </w:rPr>
        <w:t>3. El servicio de expendio de comidas y bebidas preparadas en restaurantes, cafeterías, autoservicios, heladerías, fruterías, pastelerías y panaderías para consumo en el lugar, para ser llevadas por el comprador o entregadas a domicilio, los servicios de alimentación bajo contrato, incluyendo el servicio de catering, y el servicio de expendio de comidas y bebidas alcohólicas para consumo dentro de bares, tabernas y discotecas, según lo dispuesto en los artículos 426</w:t>
      </w:r>
      <w:r w:rsidR="009F6554" w:rsidRPr="00F53530">
        <w:rPr>
          <w:rFonts w:ascii="Times New Roman" w:hAnsi="Times New Roman"/>
          <w:i/>
        </w:rPr>
        <w:t>,</w:t>
      </w:r>
      <w:r w:rsidRPr="00F53530">
        <w:rPr>
          <w:rFonts w:ascii="Times New Roman" w:hAnsi="Times New Roman"/>
          <w:i/>
        </w:rPr>
        <w:t xml:space="preserve"> 512-8</w:t>
      </w:r>
      <w:r w:rsidR="009F6554" w:rsidRPr="00F53530">
        <w:rPr>
          <w:rFonts w:ascii="Times New Roman" w:hAnsi="Times New Roman"/>
          <w:i/>
        </w:rPr>
        <w:t>,</w:t>
      </w:r>
      <w:r w:rsidRPr="00F53530">
        <w:rPr>
          <w:rFonts w:ascii="Times New Roman" w:hAnsi="Times New Roman"/>
          <w:i/>
        </w:rPr>
        <w:t xml:space="preserve"> 512-9</w:t>
      </w:r>
      <w:r w:rsidR="009F6554" w:rsidRPr="00F53530">
        <w:rPr>
          <w:rFonts w:ascii="Times New Roman" w:hAnsi="Times New Roman"/>
          <w:i/>
        </w:rPr>
        <w:t>,</w:t>
      </w:r>
      <w:r w:rsidRPr="00F53530">
        <w:rPr>
          <w:rFonts w:ascii="Times New Roman" w:hAnsi="Times New Roman"/>
          <w:i/>
        </w:rPr>
        <w:t xml:space="preserve"> 512-10</w:t>
      </w:r>
      <w:r w:rsidR="009F6554" w:rsidRPr="00F53530">
        <w:rPr>
          <w:rFonts w:ascii="Times New Roman" w:hAnsi="Times New Roman"/>
          <w:i/>
        </w:rPr>
        <w:t>,</w:t>
      </w:r>
      <w:r w:rsidRPr="00F53530">
        <w:rPr>
          <w:rFonts w:ascii="Times New Roman" w:hAnsi="Times New Roman"/>
          <w:i/>
        </w:rPr>
        <w:t xml:space="preserve"> 512-11</w:t>
      </w:r>
      <w:r w:rsidR="009F6554" w:rsidRPr="00F53530">
        <w:rPr>
          <w:rFonts w:ascii="Times New Roman" w:hAnsi="Times New Roman"/>
          <w:i/>
        </w:rPr>
        <w:t>,</w:t>
      </w:r>
      <w:r w:rsidRPr="00F53530">
        <w:rPr>
          <w:rFonts w:ascii="Times New Roman" w:hAnsi="Times New Roman"/>
          <w:i/>
        </w:rPr>
        <w:t xml:space="preserve"> 512-12 y 512-13 de este Estatuto. </w:t>
      </w:r>
      <w:r w:rsidRPr="00292A38">
        <w:rPr>
          <w:rFonts w:ascii="Times New Roman" w:hAnsi="Times New Roman"/>
          <w:i/>
          <w:u w:val="single"/>
        </w:rPr>
        <w:t>Este impuesto no es aplicable a las actividades de expendio de bebidas y comidas bajo franquicias.</w:t>
      </w:r>
    </w:p>
    <w:bookmarkEnd w:id="1"/>
    <w:p w14:paraId="045A3856" w14:textId="77777777" w:rsidR="00160431" w:rsidRDefault="00160431"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57" w14:textId="1E712B2E" w:rsidR="00292A38" w:rsidRPr="00292A38" w:rsidRDefault="00292A38" w:rsidP="00292A38">
      <w:pPr>
        <w:numPr>
          <w:ilvl w:val="0"/>
          <w:numId w:val="24"/>
        </w:numPr>
        <w:spacing w:before="240" w:after="240" w:line="240" w:lineRule="auto"/>
        <w:jc w:val="both"/>
        <w:rPr>
          <w:rFonts w:ascii="Times New Roman" w:hAnsi="Times New Roman"/>
          <w:iCs/>
          <w:highlight w:val="cyan"/>
        </w:rPr>
      </w:pPr>
      <w:bookmarkStart w:id="2" w:name="_Hlk153379488"/>
      <w:r>
        <w:rPr>
          <w:rFonts w:ascii="Times New Roman" w:hAnsi="Times New Roman"/>
          <w:iCs/>
          <w:highlight w:val="cyan"/>
        </w:rPr>
        <w:t>Aparte subrayado del numeral 3 del artículo 512-1 del</w:t>
      </w:r>
      <w:r w:rsidRPr="00292A38">
        <w:rPr>
          <w:rFonts w:ascii="Times New Roman" w:hAnsi="Times New Roman"/>
          <w:iCs/>
          <w:highlight w:val="cyan"/>
        </w:rPr>
        <w:t xml:space="preserve"> Estatuto Tributario declarado EXEQUIBLE por la Corte Constitucional mediante </w:t>
      </w:r>
      <w:hyperlink r:id="rId29" w:history="1">
        <w:r w:rsidRPr="00292A38">
          <w:rPr>
            <w:rStyle w:val="Hipervnculo"/>
            <w:rFonts w:ascii="Times New Roman" w:hAnsi="Times New Roman"/>
            <w:iCs/>
            <w:highlight w:val="cyan"/>
          </w:rPr>
          <w:t>Sentencia C-503 de 21 de noviembre de 2023</w:t>
        </w:r>
      </w:hyperlink>
      <w:r>
        <w:rPr>
          <w:rFonts w:ascii="Times New Roman" w:hAnsi="Times New Roman"/>
          <w:iCs/>
          <w:highlight w:val="cyan"/>
        </w:rPr>
        <w:t>,</w:t>
      </w:r>
      <w:r w:rsidRPr="00292A38">
        <w:rPr>
          <w:rFonts w:ascii="Times New Roman" w:hAnsi="Times New Roman"/>
          <w:iCs/>
          <w:highlight w:val="cyan"/>
        </w:rPr>
        <w:t xml:space="preserve"> Magistrado Ponente Dra. Paola Andrea Meneses Mosquera. </w:t>
      </w:r>
    </w:p>
    <w:bookmarkEnd w:id="2"/>
    <w:p w14:paraId="045A3858"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28.</w:t>
      </w:r>
      <w:r w:rsidR="00F84AD1">
        <w:rPr>
          <w:rFonts w:ascii="Times New Roman" w:hAnsi="Times New Roman"/>
          <w:b/>
          <w:bCs/>
        </w:rPr>
        <w:t xml:space="preserve"> </w:t>
      </w:r>
      <w:r w:rsidRPr="00F53530">
        <w:rPr>
          <w:rFonts w:ascii="Times New Roman" w:hAnsi="Times New Roman"/>
        </w:rPr>
        <w:t xml:space="preserve">Modifíquese el artículo 512-13 del </w:t>
      </w:r>
      <w:r w:rsidR="00160431">
        <w:rPr>
          <w:rFonts w:ascii="Times New Roman" w:hAnsi="Times New Roman"/>
        </w:rPr>
        <w:t>*</w:t>
      </w:r>
      <w:r w:rsidRPr="00F53530">
        <w:rPr>
          <w:rFonts w:ascii="Times New Roman" w:hAnsi="Times New Roman"/>
        </w:rPr>
        <w:t>Estatuto Tributario, el cual quedará así:</w:t>
      </w:r>
    </w:p>
    <w:p w14:paraId="045A3859" w14:textId="77777777" w:rsidR="00040448" w:rsidRPr="00F53530" w:rsidRDefault="00040448" w:rsidP="00C44821">
      <w:pPr>
        <w:spacing w:before="240" w:after="240" w:line="240" w:lineRule="auto"/>
        <w:jc w:val="both"/>
        <w:rPr>
          <w:rFonts w:ascii="Times New Roman" w:hAnsi="Times New Roman"/>
          <w:i/>
        </w:rPr>
      </w:pPr>
      <w:r w:rsidRPr="00D362BA">
        <w:rPr>
          <w:rFonts w:ascii="Times New Roman" w:hAnsi="Times New Roman"/>
          <w:b/>
          <w:bCs/>
          <w:i/>
        </w:rPr>
        <w:t>Artículo 512-13</w:t>
      </w:r>
      <w:r w:rsidR="00280B8A" w:rsidRPr="00D362BA">
        <w:rPr>
          <w:rFonts w:ascii="Times New Roman" w:hAnsi="Times New Roman"/>
          <w:b/>
          <w:bCs/>
          <w:i/>
        </w:rPr>
        <w:t>.</w:t>
      </w:r>
      <w:r w:rsidRPr="00D362BA">
        <w:rPr>
          <w:rFonts w:ascii="Times New Roman" w:hAnsi="Times New Roman"/>
          <w:b/>
          <w:bCs/>
          <w:i/>
        </w:rPr>
        <w:t xml:space="preserve"> No responsables del impuesto nacional al consumo de restaurantes y bares.</w:t>
      </w:r>
      <w:r w:rsidRPr="00F53530">
        <w:rPr>
          <w:rFonts w:ascii="Times New Roman" w:hAnsi="Times New Roman"/>
          <w:i/>
        </w:rPr>
        <w:t xml:space="preserve"> No serán responsables del Impuesto Nacional al Consumo de restaurantes y bares a que hace referencia el numeral 3 del artículo 512-1 de este Estatuto, las personas naturales que cumplan la totalidad de las siguientes condiciones:</w:t>
      </w:r>
    </w:p>
    <w:p w14:paraId="045A385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Que en el año anterior hubieren obtenido ingresos brutos totales, provenientes de la actividad, inferiores a 3.500 UVT;</w:t>
      </w:r>
    </w:p>
    <w:p w14:paraId="045A385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Que tengan máximo un establecimiento de comercio, sede, local o negocio donde ejercen su actividad.</w:t>
      </w:r>
    </w:p>
    <w:p w14:paraId="045A385C" w14:textId="77777777" w:rsidR="00040448" w:rsidRPr="00F53530" w:rsidRDefault="00280B8A" w:rsidP="00C44821">
      <w:pPr>
        <w:spacing w:before="240" w:after="240" w:line="240" w:lineRule="auto"/>
        <w:jc w:val="both"/>
        <w:rPr>
          <w:rFonts w:ascii="Times New Roman" w:hAnsi="Times New Roman"/>
          <w:i/>
        </w:rPr>
      </w:pPr>
      <w:r w:rsidRPr="00D362BA">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Para la celebración de operaciones gravadas provenientes de la actividad por cuantía individual e igual o superior a 3.500 UVT, estas personas deberán inscribirse previamente como responsables del impuesto.</w:t>
      </w:r>
    </w:p>
    <w:p w14:paraId="045A385D" w14:textId="77777777" w:rsidR="00040448" w:rsidRPr="00F53530" w:rsidRDefault="00280B8A" w:rsidP="00C44821">
      <w:pPr>
        <w:spacing w:before="240" w:after="240" w:line="240" w:lineRule="auto"/>
        <w:jc w:val="both"/>
        <w:rPr>
          <w:rFonts w:ascii="Times New Roman" w:hAnsi="Times New Roman"/>
          <w:i/>
        </w:rPr>
      </w:pPr>
      <w:r w:rsidRPr="00D362BA">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Los responsables del impuesto, una vez registrados, sólo podrán solicitar su retiro del régimen cuando demuestren que en los tres (3) años fiscales anteriores se cumplieron, por cada año, las condiciones establecidas en la presente disposición para tener la condición de no responsables.</w:t>
      </w:r>
    </w:p>
    <w:p w14:paraId="045A385E" w14:textId="77777777" w:rsidR="00040448" w:rsidRPr="00F53530" w:rsidRDefault="00280B8A" w:rsidP="00C44821">
      <w:pPr>
        <w:spacing w:before="240" w:after="240" w:line="240" w:lineRule="auto"/>
        <w:jc w:val="both"/>
        <w:rPr>
          <w:rFonts w:ascii="Times New Roman" w:hAnsi="Times New Roman"/>
          <w:i/>
        </w:rPr>
      </w:pPr>
      <w:r w:rsidRPr="00D362BA">
        <w:rPr>
          <w:rFonts w:ascii="Times New Roman" w:hAnsi="Times New Roman"/>
          <w:b/>
          <w:bCs/>
          <w:i/>
        </w:rPr>
        <w:t>PARÁGRAFO 3.</w:t>
      </w:r>
      <w:r w:rsidRPr="00F53530">
        <w:rPr>
          <w:rFonts w:ascii="Times New Roman" w:hAnsi="Times New Roman"/>
          <w:i/>
        </w:rPr>
        <w:t xml:space="preserve"> </w:t>
      </w:r>
      <w:r w:rsidR="00040448" w:rsidRPr="00F53530">
        <w:rPr>
          <w:rFonts w:ascii="Times New Roman" w:hAnsi="Times New Roman"/>
          <w:i/>
        </w:rPr>
        <w:t>Cuando los no responsables realicen operaciones con los responsables del impuesto deberán registrar en el Registro Único Tributario (RUT) su condición de tales y entregar copia del mismo al adquirente de los servicios, en los términos señalados en el reglamento.</w:t>
      </w:r>
    </w:p>
    <w:p w14:paraId="045A385F" w14:textId="77777777" w:rsidR="00040448" w:rsidRDefault="00280B8A" w:rsidP="00C44821">
      <w:pPr>
        <w:spacing w:before="240" w:after="240" w:line="240" w:lineRule="auto"/>
        <w:jc w:val="both"/>
        <w:rPr>
          <w:rFonts w:ascii="Times New Roman" w:hAnsi="Times New Roman"/>
          <w:i/>
        </w:rPr>
      </w:pPr>
      <w:r w:rsidRPr="00D362BA">
        <w:rPr>
          <w:rFonts w:ascii="Times New Roman" w:hAnsi="Times New Roman"/>
          <w:b/>
          <w:bCs/>
          <w:i/>
        </w:rPr>
        <w:lastRenderedPageBreak/>
        <w:t>PARÁGRAFO 4</w:t>
      </w:r>
      <w:r w:rsidRPr="00F53530">
        <w:rPr>
          <w:rFonts w:ascii="Times New Roman" w:hAnsi="Times New Roman"/>
          <w:i/>
        </w:rPr>
        <w:t>.</w:t>
      </w:r>
      <w:r w:rsidR="00A03C6F" w:rsidRPr="00F53530">
        <w:rPr>
          <w:rFonts w:ascii="Times New Roman" w:hAnsi="Times New Roman"/>
          <w:i/>
        </w:rPr>
        <w:t xml:space="preserve"> </w:t>
      </w:r>
      <w:r w:rsidR="00040448" w:rsidRPr="00F53530">
        <w:rPr>
          <w:rFonts w:ascii="Times New Roman" w:hAnsi="Times New Roman"/>
          <w:i/>
        </w:rPr>
        <w:t>Las medidas tendientes al control de la evasión y control tributario previstas en el parágrafo 3 del artículo 437 y el artículo 508-1 de este Estatuto serán aplicables al impuesto al consumo.</w:t>
      </w:r>
    </w:p>
    <w:p w14:paraId="045A3860" w14:textId="77777777" w:rsidR="00160431" w:rsidRPr="00F53530" w:rsidRDefault="00160431"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61"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29.</w:t>
      </w:r>
      <w:r w:rsidR="00F84AD1" w:rsidRPr="00F84AD1">
        <w:rPr>
          <w:rFonts w:ascii="Times New Roman" w:hAnsi="Times New Roman"/>
          <w:b/>
          <w:bCs/>
        </w:rPr>
        <w:t xml:space="preserve"> </w:t>
      </w:r>
      <w:r w:rsidRPr="00F53530">
        <w:rPr>
          <w:rFonts w:ascii="Times New Roman" w:hAnsi="Times New Roman"/>
        </w:rPr>
        <w:t xml:space="preserve">Adiciónese un parágrafo al artículo 512-18 del </w:t>
      </w:r>
      <w:r w:rsidR="00160431">
        <w:rPr>
          <w:rFonts w:ascii="Times New Roman" w:hAnsi="Times New Roman"/>
        </w:rPr>
        <w:t>*</w:t>
      </w:r>
      <w:r w:rsidRPr="00F53530">
        <w:rPr>
          <w:rFonts w:ascii="Times New Roman" w:hAnsi="Times New Roman"/>
        </w:rPr>
        <w:t>Estatuto Tributario, el cual quedará así:</w:t>
      </w:r>
    </w:p>
    <w:p w14:paraId="045A3862" w14:textId="77777777" w:rsidR="00040448" w:rsidRDefault="00280B8A" w:rsidP="00C44821">
      <w:pPr>
        <w:spacing w:before="240" w:after="240" w:line="240" w:lineRule="auto"/>
        <w:jc w:val="both"/>
        <w:rPr>
          <w:rFonts w:ascii="Times New Roman" w:hAnsi="Times New Roman"/>
          <w:i/>
        </w:rPr>
      </w:pPr>
      <w:r w:rsidRPr="00D362BA">
        <w:rPr>
          <w:rFonts w:ascii="Times New Roman" w:hAnsi="Times New Roman"/>
          <w:b/>
          <w:bCs/>
          <w:i/>
        </w:rPr>
        <w:t>PARÁGRAFO 4</w:t>
      </w:r>
      <w:r w:rsidRPr="00F53530">
        <w:rPr>
          <w:rFonts w:ascii="Times New Roman" w:hAnsi="Times New Roman"/>
          <w:i/>
        </w:rPr>
        <w:t xml:space="preserve">. </w:t>
      </w:r>
      <w:r w:rsidR="00040448" w:rsidRPr="00F53530">
        <w:rPr>
          <w:rFonts w:ascii="Times New Roman" w:hAnsi="Times New Roman"/>
          <w:i/>
        </w:rPr>
        <w:t>Los recursos recaudados por concepto del impuesto nacional al consumo de cannabis se destinarán a la provisión de bienes y servicios públicos para el desarrollo rural de los proyectos vinculados al Programa Nacional Integral de Sustitución de Cultivos de Uso Ilícito (PNIS).</w:t>
      </w:r>
    </w:p>
    <w:p w14:paraId="045A3863" w14:textId="77777777" w:rsidR="00160431" w:rsidRPr="00F53530" w:rsidRDefault="00160431"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64" w14:textId="77777777" w:rsidR="00F53530" w:rsidRDefault="00040448" w:rsidP="00C44821">
      <w:pPr>
        <w:pStyle w:val="Ttulo1"/>
      </w:pPr>
      <w:r w:rsidRPr="00F53530">
        <w:t>TÍTULO II</w:t>
      </w:r>
      <w:r w:rsidR="00F84AD1">
        <w:br/>
      </w:r>
      <w:r w:rsidRPr="00F53530">
        <w:t>IMPUESTO SOBRE LA RENTA DE PERSONAS NATURALES</w:t>
      </w:r>
    </w:p>
    <w:p w14:paraId="045A3865" w14:textId="77777777" w:rsidR="00040448" w:rsidRPr="00F53530" w:rsidRDefault="00040448" w:rsidP="00C44821">
      <w:pPr>
        <w:spacing w:before="240" w:after="240" w:line="240" w:lineRule="auto"/>
        <w:jc w:val="both"/>
        <w:rPr>
          <w:rFonts w:ascii="Times New Roman" w:hAnsi="Times New Roman"/>
        </w:rPr>
      </w:pPr>
      <w:r w:rsidRPr="00F84AD1">
        <w:rPr>
          <w:rFonts w:ascii="Times New Roman" w:hAnsi="Times New Roman"/>
          <w:b/>
          <w:bCs/>
        </w:rPr>
        <w:t>ARTÍCULO 30.</w:t>
      </w:r>
      <w:r w:rsidR="00F84AD1">
        <w:rPr>
          <w:rFonts w:ascii="Times New Roman" w:hAnsi="Times New Roman"/>
        </w:rPr>
        <w:t xml:space="preserve"> </w:t>
      </w:r>
      <w:r w:rsidRPr="00F53530">
        <w:rPr>
          <w:rFonts w:ascii="Times New Roman" w:hAnsi="Times New Roman"/>
        </w:rPr>
        <w:t xml:space="preserve">Adiciónese el numeral 3 al artículo 27 del </w:t>
      </w:r>
      <w:r w:rsidR="00160431">
        <w:rPr>
          <w:rFonts w:ascii="Times New Roman" w:hAnsi="Times New Roman"/>
        </w:rPr>
        <w:t>*</w:t>
      </w:r>
      <w:r w:rsidRPr="00F53530">
        <w:rPr>
          <w:rFonts w:ascii="Times New Roman" w:hAnsi="Times New Roman"/>
        </w:rPr>
        <w:t>Estatuto Tributario, el cual quedará así:</w:t>
      </w:r>
    </w:p>
    <w:p w14:paraId="045A386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Los ingresos por concepto de auxilio de cesantías y los intereses sobre cesantías, se entenderán realizados en el momento del pago del empleador directo al trabajador o en el momento de consignación al fondo de cesantías. El tratamiento aquí previsto para el auxilio de cesantías y los intereses sobre cesantías, dará lugar a la aplicación de la renta exenta que establece el numeral 4 del artículo 206 del Estatuto Tributario, así como al reconocimiento patrimonial, cuando haya lugar a ello.</w:t>
      </w:r>
    </w:p>
    <w:p w14:paraId="045A3867"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En el caso del auxilio de cesantía del régimen tradicional del </w:t>
      </w:r>
      <w:r w:rsidR="00805988">
        <w:rPr>
          <w:rFonts w:ascii="Times New Roman" w:hAnsi="Times New Roman"/>
          <w:i/>
        </w:rPr>
        <w:t>*</w:t>
      </w:r>
      <w:r w:rsidRPr="00F53530">
        <w:rPr>
          <w:rFonts w:ascii="Times New Roman" w:hAnsi="Times New Roman"/>
          <w:i/>
        </w:rPr>
        <w:t>Código Sustantivo del Trabajo, contenido en el Capítulo VII, Título VIII, parte primera, y demás disposiciones que lo modifiquen o adicionen, se entenderá realizado con ocasión del reconocimiento por parte del empleador. Para tales efectos, el trabajador reconocerá cada año gravable, el ingreso por auxilio de cesantías, tomando la diferencia resultante entre los saldos a treinta y uno (31) de diciembre del año gravable materia de declaración del impuesto sobre la renta y complementarios y el del año inmediatamente anterior. En caso de retiros parciales antes del treinta y uno (31) de diciembre de cada año, el valor correspondiente será adicionado.</w:t>
      </w:r>
    </w:p>
    <w:p w14:paraId="045A3868" w14:textId="77777777" w:rsidR="00160431" w:rsidRPr="00F53530" w:rsidRDefault="00160431"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w:t>
      </w:r>
      <w:r w:rsidR="00805988">
        <w:rPr>
          <w:rFonts w:ascii="Times New Roman" w:hAnsi="Times New Roman"/>
          <w:highlight w:val="green"/>
        </w:rPr>
        <w:t xml:space="preserve"> y al Código Sustantivo del Trabajo</w:t>
      </w:r>
      <w:r w:rsidRPr="008D21E5">
        <w:rPr>
          <w:rFonts w:ascii="Times New Roman" w:hAnsi="Times New Roman"/>
          <w:highlight w:val="green"/>
        </w:rPr>
        <w:t>, le sugerimos remitirse a la publicación de nuestro Grupo Editorial Nueva Legislación “Estatuto Tributario Nacional”</w:t>
      </w:r>
      <w:r w:rsidR="00805988">
        <w:rPr>
          <w:rFonts w:ascii="Times New Roman" w:hAnsi="Times New Roman"/>
          <w:highlight w:val="green"/>
        </w:rPr>
        <w:t xml:space="preserve"> y </w:t>
      </w:r>
      <w:r w:rsidR="00805988" w:rsidRPr="00A3298D">
        <w:rPr>
          <w:rFonts w:ascii="Times New Roman" w:hAnsi="Times New Roman"/>
          <w:highlight w:val="green"/>
        </w:rPr>
        <w:t>“Código Sustantivo y Procesal del Trabajo”</w:t>
      </w:r>
      <w:r w:rsidRPr="008D21E5">
        <w:rPr>
          <w:rFonts w:ascii="Times New Roman" w:hAnsi="Times New Roman"/>
          <w:highlight w:val="green"/>
        </w:rPr>
        <w:t>.</w:t>
      </w:r>
    </w:p>
    <w:p w14:paraId="045A3869" w14:textId="77777777" w:rsidR="00040448" w:rsidRPr="00F53530" w:rsidRDefault="00040448" w:rsidP="00C44821">
      <w:pPr>
        <w:spacing w:before="240" w:after="240" w:line="240" w:lineRule="auto"/>
        <w:jc w:val="both"/>
        <w:rPr>
          <w:rFonts w:ascii="Times New Roman" w:hAnsi="Times New Roman"/>
        </w:rPr>
      </w:pPr>
      <w:r w:rsidRPr="007C1D78">
        <w:rPr>
          <w:rFonts w:ascii="Times New Roman" w:hAnsi="Times New Roman"/>
          <w:b/>
          <w:bCs/>
        </w:rPr>
        <w:t>ARTÍCULO 31.</w:t>
      </w:r>
      <w:r w:rsidR="007C1D78">
        <w:rPr>
          <w:rFonts w:ascii="Times New Roman" w:hAnsi="Times New Roman"/>
          <w:b/>
          <w:bCs/>
        </w:rPr>
        <w:t xml:space="preserve"> </w:t>
      </w:r>
      <w:r w:rsidRPr="00F53530">
        <w:rPr>
          <w:rFonts w:ascii="Times New Roman" w:hAnsi="Times New Roman"/>
        </w:rPr>
        <w:t xml:space="preserve">Modifíquese el artículo 55 del </w:t>
      </w:r>
      <w:r w:rsidR="00160431">
        <w:rPr>
          <w:rFonts w:ascii="Times New Roman" w:hAnsi="Times New Roman"/>
        </w:rPr>
        <w:t>*</w:t>
      </w:r>
      <w:r w:rsidRPr="00F53530">
        <w:rPr>
          <w:rFonts w:ascii="Times New Roman" w:hAnsi="Times New Roman"/>
        </w:rPr>
        <w:t>Estatuto Tributario, el cual quedará así:</w:t>
      </w:r>
    </w:p>
    <w:p w14:paraId="045A386A" w14:textId="77777777" w:rsidR="00040448" w:rsidRPr="00F53530" w:rsidRDefault="00040448" w:rsidP="00C44821">
      <w:pPr>
        <w:spacing w:before="240" w:after="240" w:line="240" w:lineRule="auto"/>
        <w:jc w:val="both"/>
        <w:rPr>
          <w:rFonts w:ascii="Times New Roman" w:hAnsi="Times New Roman"/>
          <w:i/>
        </w:rPr>
      </w:pPr>
      <w:r w:rsidRPr="00D362BA">
        <w:rPr>
          <w:rFonts w:ascii="Times New Roman" w:hAnsi="Times New Roman"/>
          <w:b/>
          <w:bCs/>
          <w:i/>
        </w:rPr>
        <w:t>Artículo 55</w:t>
      </w:r>
      <w:r w:rsidR="00280B8A" w:rsidRPr="00D362BA">
        <w:rPr>
          <w:rFonts w:ascii="Times New Roman" w:hAnsi="Times New Roman"/>
          <w:b/>
          <w:bCs/>
          <w:i/>
        </w:rPr>
        <w:t>.</w:t>
      </w:r>
      <w:r w:rsidRPr="00D362BA">
        <w:rPr>
          <w:rFonts w:ascii="Times New Roman" w:hAnsi="Times New Roman"/>
          <w:b/>
          <w:bCs/>
          <w:i/>
        </w:rPr>
        <w:t xml:space="preserve"> Aportes obligatorios al Sistema General de Pensiones.</w:t>
      </w:r>
      <w:r w:rsidRPr="00F53530">
        <w:rPr>
          <w:rFonts w:ascii="Times New Roman" w:hAnsi="Times New Roman"/>
          <w:i/>
        </w:rPr>
        <w:t xml:space="preserve"> Los aportes obligatorios que efectúen los trabajadores, empleadores y afiliados al Sistema General de Seguridad Social en Pensiones no harán parte de la base para aplicar la retención en la fuente por rentas de trabajo y serán considerados como un ingreso no constitutivo de renta ni de ganancia ocasional. Los aportes </w:t>
      </w:r>
      <w:r w:rsidRPr="00F53530">
        <w:rPr>
          <w:rFonts w:ascii="Times New Roman" w:hAnsi="Times New Roman"/>
          <w:i/>
        </w:rPr>
        <w:lastRenderedPageBreak/>
        <w:t>a cargo del empleador serán deducibles de su renta. Las cotizaciones voluntarias al régimen de ahorro individual con solidaridad son un ingreso no constitutivo de renta ni de ganancia ocasional para el aportante, en un porcentaje que no exceda el veinticinco por ciento (25%) del ingreso laboral o tributario anual, limitado a 2.500 UVT. Los retiros, parciales o totales, de las cotizaciones voluntarias, que hayan efectuado los afiliados al régimen de ahorro individual con solidaridad para fines distintos a la obtención de una mayor pensión o un retiro anticipado, constituyen renta líquida gravable para el aportante y la respectiva sociedad administradora efectuará la retención en la fuente a la tarifa del 35% al momento del retiro.</w:t>
      </w:r>
    </w:p>
    <w:p w14:paraId="045A386B" w14:textId="77777777" w:rsidR="00040448" w:rsidRDefault="00280B8A" w:rsidP="00C44821">
      <w:pPr>
        <w:spacing w:before="240" w:after="240" w:line="240" w:lineRule="auto"/>
        <w:jc w:val="both"/>
        <w:rPr>
          <w:rFonts w:ascii="Times New Roman" w:hAnsi="Times New Roman"/>
          <w:i/>
        </w:rPr>
      </w:pPr>
      <w:r w:rsidRPr="00D362BA">
        <w:rPr>
          <w:rFonts w:ascii="Times New Roman" w:hAnsi="Times New Roman"/>
          <w:b/>
          <w:bCs/>
          <w:i/>
        </w:rPr>
        <w:t xml:space="preserve">PARÁGRAFO. </w:t>
      </w:r>
      <w:r w:rsidR="00040448" w:rsidRPr="00F53530">
        <w:rPr>
          <w:rFonts w:ascii="Times New Roman" w:hAnsi="Times New Roman"/>
          <w:i/>
        </w:rPr>
        <w:t>Los retiros, parciales o totales, de las cotizaciones voluntarias, que hayan efectuado los afiliados al régimen de ahorro individual con solidaridad, para fines distintos a la obtención de una mayor pensión o un retiro anticipado, constituirán renta gravada en el año en que sean retirados. La respectiva sociedad administradora efectuará la retención en la fuente a la tarifa del 35% al momento del retiro.</w:t>
      </w:r>
    </w:p>
    <w:p w14:paraId="045A386C" w14:textId="77777777" w:rsidR="00160431" w:rsidRPr="00F53530" w:rsidRDefault="00160431"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6D" w14:textId="77777777" w:rsidR="00040448" w:rsidRPr="00F53530" w:rsidRDefault="00040448" w:rsidP="00C44821">
      <w:pPr>
        <w:spacing w:before="240" w:after="240" w:line="240" w:lineRule="auto"/>
        <w:jc w:val="both"/>
        <w:rPr>
          <w:rFonts w:ascii="Times New Roman" w:hAnsi="Times New Roman"/>
        </w:rPr>
      </w:pPr>
      <w:r w:rsidRPr="007C1D78">
        <w:rPr>
          <w:rFonts w:ascii="Times New Roman" w:hAnsi="Times New Roman"/>
          <w:b/>
          <w:bCs/>
        </w:rPr>
        <w:t>ARTÍCULO 32.</w:t>
      </w:r>
      <w:r w:rsidR="007C1D78">
        <w:rPr>
          <w:rFonts w:ascii="Times New Roman" w:hAnsi="Times New Roman"/>
          <w:b/>
          <w:bCs/>
        </w:rPr>
        <w:t xml:space="preserve"> </w:t>
      </w:r>
      <w:r w:rsidRPr="00F53530">
        <w:rPr>
          <w:rFonts w:ascii="Times New Roman" w:hAnsi="Times New Roman"/>
        </w:rPr>
        <w:t xml:space="preserve">Modifíquense los numerales 6 y 8, y adiciónense los numerales 7 y 9 y los parágrafos 4 y 5 al artículo 206 del </w:t>
      </w:r>
      <w:r w:rsidR="00160431">
        <w:rPr>
          <w:rFonts w:ascii="Times New Roman" w:hAnsi="Times New Roman"/>
        </w:rPr>
        <w:t>*</w:t>
      </w:r>
      <w:r w:rsidRPr="00F53530">
        <w:rPr>
          <w:rFonts w:ascii="Times New Roman" w:hAnsi="Times New Roman"/>
        </w:rPr>
        <w:t>Estatuto Tributario, los cuales quedarán así:</w:t>
      </w:r>
    </w:p>
    <w:p w14:paraId="045A386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6. El seguro por muerte, las compensaciones por muerte y las prestaciones sociales en actividad y en retiro de los miembros de las Fuerzas Militares y de la Policía Nacional.</w:t>
      </w:r>
    </w:p>
    <w:p w14:paraId="045A386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7. En el caso de los Magistrados de los Tribunales, sus Fiscales y Procuradores Judiciales, se considerará como gastos de representación exentos un porcentaje equivalente al cincuenta por ciento (50%) de su salario.</w:t>
      </w:r>
    </w:p>
    <w:p w14:paraId="045A387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los Jueces de la República el porcentaje exento será del veinticinco por ciento (25%) sobre su salario.</w:t>
      </w:r>
    </w:p>
    <w:p w14:paraId="045A387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8. El exceso del salario básico percibido por los Oficiales, Suboficiales y Soldados Profesionales de las Fuerzas Militares y Oficiales, Suboficiales, Nivel Ejecutivo, Patrulleros y Agentes de la Policía Nacional.</w:t>
      </w:r>
    </w:p>
    <w:p w14:paraId="045A387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9. Los gastos de representación de los rectores y profesores de universidades públicas, los cuales no podrán exceder del cincuenta (50%) de su salario.</w:t>
      </w:r>
    </w:p>
    <w:p w14:paraId="045A3873" w14:textId="77777777" w:rsidR="00040448" w:rsidRPr="00F53530" w:rsidRDefault="00280B8A" w:rsidP="00C44821">
      <w:pPr>
        <w:spacing w:before="240" w:after="240" w:line="240" w:lineRule="auto"/>
        <w:jc w:val="both"/>
        <w:rPr>
          <w:rFonts w:ascii="Times New Roman" w:hAnsi="Times New Roman"/>
          <w:i/>
        </w:rPr>
      </w:pPr>
      <w:r w:rsidRPr="00D362BA">
        <w:rPr>
          <w:rFonts w:ascii="Times New Roman" w:hAnsi="Times New Roman"/>
          <w:b/>
          <w:bCs/>
          <w:i/>
        </w:rPr>
        <w:t>PARÁGRAFO 4.</w:t>
      </w:r>
      <w:r w:rsidRPr="00F53530">
        <w:rPr>
          <w:rFonts w:ascii="Times New Roman" w:hAnsi="Times New Roman"/>
          <w:i/>
        </w:rPr>
        <w:t xml:space="preserve"> </w:t>
      </w:r>
      <w:r w:rsidR="00040448" w:rsidRPr="00F53530">
        <w:rPr>
          <w:rFonts w:ascii="Times New Roman" w:hAnsi="Times New Roman"/>
          <w:i/>
        </w:rPr>
        <w:t>Las rentas exentas establecidas en los numerales 6, 7, 8 y 9 de este artículo, no estarán sujetas a las limitantes previstas en el numeral 3 del artículo 336 de este Estatuto.</w:t>
      </w:r>
    </w:p>
    <w:p w14:paraId="045A3874" w14:textId="77777777" w:rsidR="00040448" w:rsidRDefault="00280B8A" w:rsidP="00C44821">
      <w:pPr>
        <w:spacing w:before="240" w:after="240" w:line="240" w:lineRule="auto"/>
        <w:jc w:val="both"/>
        <w:rPr>
          <w:rFonts w:ascii="Times New Roman" w:hAnsi="Times New Roman"/>
          <w:i/>
        </w:rPr>
      </w:pPr>
      <w:r w:rsidRPr="00D362BA">
        <w:rPr>
          <w:rFonts w:ascii="Times New Roman" w:hAnsi="Times New Roman"/>
          <w:b/>
          <w:bCs/>
          <w:i/>
        </w:rPr>
        <w:t>PARÁGRAFO 5.</w:t>
      </w:r>
      <w:r w:rsidRPr="00F53530">
        <w:rPr>
          <w:rFonts w:ascii="Times New Roman" w:hAnsi="Times New Roman"/>
          <w:i/>
        </w:rPr>
        <w:t xml:space="preserve"> </w:t>
      </w:r>
      <w:r w:rsidR="00040448" w:rsidRPr="00F53530">
        <w:rPr>
          <w:rFonts w:ascii="Times New Roman" w:hAnsi="Times New Roman"/>
          <w:i/>
        </w:rPr>
        <w:t>La exención prevista en el numeral 10 también procede en relación con los honorarios percibidos por personas naturales que presten servicios y que contraten o vinculen por un término inferior a noventa (90) días continuos o discontinuos menos de dos (2) trabajadores o contratistas asociados a la actividad.</w:t>
      </w:r>
    </w:p>
    <w:p w14:paraId="045A3875" w14:textId="77777777" w:rsidR="00160431" w:rsidRPr="00F53530" w:rsidRDefault="00160431"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76" w14:textId="77777777" w:rsidR="00040448" w:rsidRPr="00F53530" w:rsidRDefault="00040448" w:rsidP="00C44821">
      <w:pPr>
        <w:spacing w:before="240" w:after="240" w:line="240" w:lineRule="auto"/>
        <w:jc w:val="both"/>
        <w:rPr>
          <w:rFonts w:ascii="Times New Roman" w:hAnsi="Times New Roman"/>
        </w:rPr>
      </w:pPr>
      <w:r w:rsidRPr="007C1D78">
        <w:rPr>
          <w:rFonts w:ascii="Times New Roman" w:hAnsi="Times New Roman"/>
          <w:b/>
          <w:bCs/>
        </w:rPr>
        <w:t>ARTÍCULO 33.</w:t>
      </w:r>
      <w:r w:rsidR="007C1D78">
        <w:rPr>
          <w:rFonts w:ascii="Times New Roman" w:hAnsi="Times New Roman"/>
          <w:b/>
          <w:bCs/>
        </w:rPr>
        <w:t xml:space="preserve"> </w:t>
      </w:r>
      <w:r w:rsidRPr="00F53530">
        <w:rPr>
          <w:rFonts w:ascii="Times New Roman" w:hAnsi="Times New Roman"/>
        </w:rPr>
        <w:t xml:space="preserve">Modifíquese el artículo 206-1 del </w:t>
      </w:r>
      <w:r w:rsidR="00160431">
        <w:rPr>
          <w:rFonts w:ascii="Times New Roman" w:hAnsi="Times New Roman"/>
        </w:rPr>
        <w:t>*</w:t>
      </w:r>
      <w:r w:rsidRPr="00F53530">
        <w:rPr>
          <w:rFonts w:ascii="Times New Roman" w:hAnsi="Times New Roman"/>
        </w:rPr>
        <w:t>Estatuto Tributario, el cual quedará así:</w:t>
      </w:r>
    </w:p>
    <w:p w14:paraId="045A3877" w14:textId="740AF2B6" w:rsidR="00040448" w:rsidRPr="00F53530" w:rsidRDefault="00040448" w:rsidP="00C44821">
      <w:pPr>
        <w:spacing w:before="240" w:after="240" w:line="240" w:lineRule="auto"/>
        <w:jc w:val="both"/>
        <w:rPr>
          <w:rFonts w:ascii="Times New Roman" w:hAnsi="Times New Roman"/>
          <w:i/>
        </w:rPr>
      </w:pPr>
      <w:r w:rsidRPr="00D362BA">
        <w:rPr>
          <w:rFonts w:ascii="Times New Roman" w:hAnsi="Times New Roman"/>
          <w:b/>
          <w:bCs/>
          <w:i/>
        </w:rPr>
        <w:lastRenderedPageBreak/>
        <w:t>Artículo 206-1</w:t>
      </w:r>
      <w:r w:rsidR="00280B8A" w:rsidRPr="00D362BA">
        <w:rPr>
          <w:rFonts w:ascii="Times New Roman" w:hAnsi="Times New Roman"/>
          <w:b/>
          <w:bCs/>
          <w:i/>
        </w:rPr>
        <w:t>.</w:t>
      </w:r>
      <w:r w:rsidRPr="00D362BA">
        <w:rPr>
          <w:rFonts w:ascii="Times New Roman" w:hAnsi="Times New Roman"/>
          <w:b/>
          <w:bCs/>
          <w:i/>
        </w:rPr>
        <w:t xml:space="preserve"> Determinación de la renta para servidores públicos diplomáticos, consulares y administrativos del ministerio de relaciones exteriores.</w:t>
      </w:r>
      <w:r w:rsidRPr="00F53530">
        <w:rPr>
          <w:rFonts w:ascii="Times New Roman" w:hAnsi="Times New Roman"/>
          <w:i/>
        </w:rPr>
        <w:t xml:space="preserve"> Para efectos de la determinación del impuesto sobre la renta y complementarios de los servidores públicos diplomáticos, consulares y administrativos del Ministerio de Relaciones Exteriores, la prima especial y la prima de costo de vida de que trata el </w:t>
      </w:r>
      <w:hyperlink r:id="rId30" w:history="1">
        <w:r w:rsidRPr="0052684C">
          <w:rPr>
            <w:rStyle w:val="Hipervnculo"/>
            <w:rFonts w:ascii="Times New Roman" w:hAnsi="Times New Roman"/>
            <w:i/>
          </w:rPr>
          <w:t>Decreto 3357 de 2009</w:t>
        </w:r>
      </w:hyperlink>
      <w:r w:rsidRPr="00F53530">
        <w:rPr>
          <w:rFonts w:ascii="Times New Roman" w:hAnsi="Times New Roman"/>
          <w:i/>
        </w:rPr>
        <w:t xml:space="preserve">, o las normas que lo modifiquen o sustituyan, estarán exentas del impuesto sobre la renta. El mismo tratamiento es aplicable respecto a la prima especial y la prima de costo de vida de los servidores públicos de las plantas en el exterior que, aunque presten sus servicios fuera de Colombia, sean residentes fiscales en el país, de conformidad con el numeral 2 del artículo 10 del </w:t>
      </w:r>
      <w:r w:rsidR="00160431">
        <w:rPr>
          <w:rFonts w:ascii="Times New Roman" w:hAnsi="Times New Roman"/>
          <w:i/>
        </w:rPr>
        <w:t>*</w:t>
      </w:r>
      <w:r w:rsidRPr="00F53530">
        <w:rPr>
          <w:rFonts w:ascii="Times New Roman" w:hAnsi="Times New Roman"/>
          <w:i/>
        </w:rPr>
        <w:t>Estatuto Tributario.</w:t>
      </w:r>
    </w:p>
    <w:p w14:paraId="045A3878"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Las primas de que trata este artículo, no se tendrán en cuenta para efectos del cálculo de los límites establecidos en el numeral 3 del artículo 336 del presente Estatuto.</w:t>
      </w:r>
    </w:p>
    <w:p w14:paraId="045A3879" w14:textId="77777777" w:rsidR="00160431" w:rsidRPr="00F53530" w:rsidRDefault="00160431"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7A" w14:textId="77777777" w:rsidR="00040448" w:rsidRPr="00F53530" w:rsidRDefault="00040448" w:rsidP="00C44821">
      <w:pPr>
        <w:spacing w:before="240" w:after="240" w:line="240" w:lineRule="auto"/>
        <w:jc w:val="both"/>
        <w:rPr>
          <w:rFonts w:ascii="Times New Roman" w:hAnsi="Times New Roman"/>
        </w:rPr>
      </w:pPr>
      <w:r w:rsidRPr="007C1D78">
        <w:rPr>
          <w:rFonts w:ascii="Times New Roman" w:hAnsi="Times New Roman"/>
          <w:b/>
          <w:bCs/>
        </w:rPr>
        <w:t>ARTÍCULO 34.</w:t>
      </w:r>
      <w:r w:rsidR="007C1D78">
        <w:rPr>
          <w:rFonts w:ascii="Times New Roman" w:hAnsi="Times New Roman"/>
          <w:b/>
          <w:bCs/>
        </w:rPr>
        <w:t xml:space="preserve"> </w:t>
      </w:r>
      <w:r w:rsidRPr="00F53530">
        <w:rPr>
          <w:rFonts w:ascii="Times New Roman" w:hAnsi="Times New Roman"/>
        </w:rPr>
        <w:t xml:space="preserve">Modifíquese el artículo 241 del </w:t>
      </w:r>
      <w:r w:rsidR="00160431">
        <w:rPr>
          <w:rFonts w:ascii="Times New Roman" w:hAnsi="Times New Roman"/>
        </w:rPr>
        <w:t>*</w:t>
      </w:r>
      <w:r w:rsidRPr="00F53530">
        <w:rPr>
          <w:rFonts w:ascii="Times New Roman" w:hAnsi="Times New Roman"/>
        </w:rPr>
        <w:t>Estatuto Tributario, el cual quedará así:</w:t>
      </w:r>
    </w:p>
    <w:p w14:paraId="045A387B" w14:textId="77777777" w:rsidR="00040448" w:rsidRPr="00F53530" w:rsidRDefault="00040448" w:rsidP="00C44821">
      <w:pPr>
        <w:spacing w:before="240" w:after="240" w:line="240" w:lineRule="auto"/>
        <w:jc w:val="both"/>
        <w:rPr>
          <w:rFonts w:ascii="Times New Roman" w:hAnsi="Times New Roman"/>
          <w:i/>
        </w:rPr>
      </w:pPr>
      <w:r w:rsidRPr="00D362BA">
        <w:rPr>
          <w:rFonts w:ascii="Times New Roman" w:hAnsi="Times New Roman"/>
          <w:b/>
          <w:bCs/>
          <w:i/>
        </w:rPr>
        <w:t>Artículo 241</w:t>
      </w:r>
      <w:r w:rsidR="00280B8A" w:rsidRPr="00D362BA">
        <w:rPr>
          <w:rFonts w:ascii="Times New Roman" w:hAnsi="Times New Roman"/>
          <w:b/>
          <w:bCs/>
          <w:i/>
        </w:rPr>
        <w:t>.</w:t>
      </w:r>
      <w:r w:rsidRPr="00D362BA">
        <w:rPr>
          <w:rFonts w:ascii="Times New Roman" w:hAnsi="Times New Roman"/>
          <w:b/>
          <w:bCs/>
          <w:i/>
        </w:rPr>
        <w:t xml:space="preserve"> Tarifa para las personas naturales residentes y asignaciones y donaciones modales.</w:t>
      </w:r>
      <w:r w:rsidRPr="00F53530">
        <w:rPr>
          <w:rFonts w:ascii="Times New Roman" w:hAnsi="Times New Roman"/>
          <w:i/>
        </w:rPr>
        <w:t xml:space="preserve"> El impuesto sobre la renta de las personas naturales residentes en el país, de las sucesiones de causantes residentes en el país, y de los bienes destinados a fines especiales, en virtud de donaciones o asignaciones modales, se determinará de acuerdo con la siguiente tabla:</w:t>
      </w:r>
    </w:p>
    <w:tbl>
      <w:tblPr>
        <w:tblW w:w="7347" w:type="dxa"/>
        <w:jc w:val="center"/>
        <w:tblCellMar>
          <w:left w:w="70" w:type="dxa"/>
          <w:right w:w="70" w:type="dxa"/>
        </w:tblCellMar>
        <w:tblLook w:val="04A0" w:firstRow="1" w:lastRow="0" w:firstColumn="1" w:lastColumn="0" w:noHBand="0" w:noVBand="1"/>
      </w:tblPr>
      <w:tblGrid>
        <w:gridCol w:w="1557"/>
        <w:gridCol w:w="1419"/>
        <w:gridCol w:w="1134"/>
        <w:gridCol w:w="3237"/>
      </w:tblGrid>
      <w:tr w:rsidR="00E66E16" w:rsidRPr="00F53530" w14:paraId="045A387F" w14:textId="77777777" w:rsidTr="00EA7294">
        <w:trPr>
          <w:trHeight w:val="300"/>
          <w:jc w:val="center"/>
        </w:trPr>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5A387C" w14:textId="77777777" w:rsidR="00E66E16" w:rsidRPr="00F53530" w:rsidRDefault="00E66E16"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Rangos en UVT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A387D" w14:textId="77777777" w:rsidR="00E66E16" w:rsidRPr="00F53530" w:rsidRDefault="00E66E16"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Tarifa marginal</w:t>
            </w:r>
          </w:p>
        </w:tc>
        <w:tc>
          <w:tcPr>
            <w:tcW w:w="3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A387E" w14:textId="77777777" w:rsidR="00E66E16" w:rsidRPr="00F53530" w:rsidRDefault="00E66E16"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Impuesto</w:t>
            </w:r>
          </w:p>
        </w:tc>
      </w:tr>
      <w:tr w:rsidR="00E66E16" w:rsidRPr="00F53530" w14:paraId="045A3884" w14:textId="77777777" w:rsidTr="00EA7294">
        <w:trPr>
          <w:trHeight w:val="300"/>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045A3880" w14:textId="77777777" w:rsidR="00E66E16" w:rsidRPr="00F53530" w:rsidRDefault="00E66E16"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Desde</w:t>
            </w:r>
          </w:p>
        </w:tc>
        <w:tc>
          <w:tcPr>
            <w:tcW w:w="1419" w:type="dxa"/>
            <w:tcBorders>
              <w:top w:val="nil"/>
              <w:left w:val="nil"/>
              <w:bottom w:val="single" w:sz="4" w:space="0" w:color="auto"/>
              <w:right w:val="single" w:sz="4" w:space="0" w:color="auto"/>
            </w:tcBorders>
            <w:shd w:val="clear" w:color="auto" w:fill="auto"/>
            <w:vAlign w:val="center"/>
            <w:hideMark/>
          </w:tcPr>
          <w:p w14:paraId="045A3881" w14:textId="77777777" w:rsidR="00E66E16" w:rsidRPr="00F53530" w:rsidRDefault="00E66E16"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Hasta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5A3882" w14:textId="77777777" w:rsidR="00E66E16" w:rsidRPr="00F53530" w:rsidRDefault="00E66E16" w:rsidP="00C44821">
            <w:pPr>
              <w:spacing w:after="0" w:line="240" w:lineRule="auto"/>
              <w:jc w:val="center"/>
              <w:rPr>
                <w:rFonts w:ascii="Times New Roman" w:eastAsia="Times New Roman" w:hAnsi="Times New Roman"/>
                <w:b/>
                <w:bCs/>
                <w:i/>
                <w:color w:val="000000"/>
                <w:lang w:eastAsia="es-CO"/>
              </w:rPr>
            </w:pPr>
          </w:p>
        </w:tc>
        <w:tc>
          <w:tcPr>
            <w:tcW w:w="3237" w:type="dxa"/>
            <w:vMerge/>
            <w:tcBorders>
              <w:top w:val="single" w:sz="4" w:space="0" w:color="auto"/>
              <w:left w:val="single" w:sz="4" w:space="0" w:color="auto"/>
              <w:bottom w:val="single" w:sz="4" w:space="0" w:color="auto"/>
              <w:right w:val="single" w:sz="4" w:space="0" w:color="auto"/>
            </w:tcBorders>
            <w:vAlign w:val="center"/>
            <w:hideMark/>
          </w:tcPr>
          <w:p w14:paraId="045A3883" w14:textId="77777777" w:rsidR="00E66E16" w:rsidRPr="00F53530" w:rsidRDefault="00E66E16" w:rsidP="00C44821">
            <w:pPr>
              <w:spacing w:after="0" w:line="240" w:lineRule="auto"/>
              <w:jc w:val="center"/>
              <w:rPr>
                <w:rFonts w:ascii="Times New Roman" w:eastAsia="Times New Roman" w:hAnsi="Times New Roman"/>
                <w:b/>
                <w:bCs/>
                <w:i/>
                <w:color w:val="000000"/>
                <w:lang w:eastAsia="es-CO"/>
              </w:rPr>
            </w:pPr>
          </w:p>
        </w:tc>
      </w:tr>
      <w:tr w:rsidR="00E66E16" w:rsidRPr="00F53530" w14:paraId="045A3889" w14:textId="77777777" w:rsidTr="00EA7294">
        <w:trPr>
          <w:trHeight w:val="300"/>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045A3885"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0</w:t>
            </w:r>
          </w:p>
        </w:tc>
        <w:tc>
          <w:tcPr>
            <w:tcW w:w="1419" w:type="dxa"/>
            <w:tcBorders>
              <w:top w:val="nil"/>
              <w:left w:val="nil"/>
              <w:bottom w:val="single" w:sz="4" w:space="0" w:color="auto"/>
              <w:right w:val="single" w:sz="4" w:space="0" w:color="auto"/>
            </w:tcBorders>
            <w:shd w:val="clear" w:color="auto" w:fill="auto"/>
            <w:vAlign w:val="center"/>
            <w:hideMark/>
          </w:tcPr>
          <w:p w14:paraId="045A3886"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1090</w:t>
            </w:r>
          </w:p>
        </w:tc>
        <w:tc>
          <w:tcPr>
            <w:tcW w:w="1134" w:type="dxa"/>
            <w:tcBorders>
              <w:top w:val="nil"/>
              <w:left w:val="nil"/>
              <w:bottom w:val="single" w:sz="4" w:space="0" w:color="auto"/>
              <w:right w:val="single" w:sz="4" w:space="0" w:color="auto"/>
            </w:tcBorders>
            <w:shd w:val="clear" w:color="auto" w:fill="auto"/>
            <w:vAlign w:val="center"/>
            <w:hideMark/>
          </w:tcPr>
          <w:p w14:paraId="045A3887"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0%</w:t>
            </w:r>
          </w:p>
        </w:tc>
        <w:tc>
          <w:tcPr>
            <w:tcW w:w="3237" w:type="dxa"/>
            <w:tcBorders>
              <w:top w:val="nil"/>
              <w:left w:val="nil"/>
              <w:bottom w:val="single" w:sz="4" w:space="0" w:color="auto"/>
              <w:right w:val="single" w:sz="4" w:space="0" w:color="auto"/>
            </w:tcBorders>
            <w:shd w:val="clear" w:color="auto" w:fill="auto"/>
            <w:vAlign w:val="center"/>
            <w:hideMark/>
          </w:tcPr>
          <w:p w14:paraId="045A3888"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0</w:t>
            </w:r>
          </w:p>
        </w:tc>
      </w:tr>
      <w:tr w:rsidR="00E66E16" w:rsidRPr="00F53530" w14:paraId="045A388E" w14:textId="77777777" w:rsidTr="00EA7294">
        <w:trPr>
          <w:trHeight w:val="309"/>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045A388A"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&gt;1090</w:t>
            </w:r>
          </w:p>
        </w:tc>
        <w:tc>
          <w:tcPr>
            <w:tcW w:w="1419" w:type="dxa"/>
            <w:tcBorders>
              <w:top w:val="nil"/>
              <w:left w:val="nil"/>
              <w:bottom w:val="single" w:sz="4" w:space="0" w:color="auto"/>
              <w:right w:val="single" w:sz="4" w:space="0" w:color="auto"/>
            </w:tcBorders>
            <w:shd w:val="clear" w:color="auto" w:fill="auto"/>
            <w:vAlign w:val="center"/>
            <w:hideMark/>
          </w:tcPr>
          <w:p w14:paraId="045A388B"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1700</w:t>
            </w:r>
          </w:p>
        </w:tc>
        <w:tc>
          <w:tcPr>
            <w:tcW w:w="1134" w:type="dxa"/>
            <w:tcBorders>
              <w:top w:val="nil"/>
              <w:left w:val="nil"/>
              <w:bottom w:val="single" w:sz="4" w:space="0" w:color="auto"/>
              <w:right w:val="single" w:sz="4" w:space="0" w:color="auto"/>
            </w:tcBorders>
            <w:shd w:val="clear" w:color="auto" w:fill="auto"/>
            <w:vAlign w:val="center"/>
            <w:hideMark/>
          </w:tcPr>
          <w:p w14:paraId="045A388C"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19%</w:t>
            </w:r>
          </w:p>
        </w:tc>
        <w:tc>
          <w:tcPr>
            <w:tcW w:w="3237" w:type="dxa"/>
            <w:tcBorders>
              <w:top w:val="nil"/>
              <w:left w:val="nil"/>
              <w:bottom w:val="single" w:sz="4" w:space="0" w:color="auto"/>
              <w:right w:val="single" w:sz="4" w:space="0" w:color="auto"/>
            </w:tcBorders>
            <w:shd w:val="clear" w:color="auto" w:fill="auto"/>
            <w:vAlign w:val="center"/>
            <w:hideMark/>
          </w:tcPr>
          <w:p w14:paraId="045A388D"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(Base Gravable en UVT menos 1090 UVT) X 19%</w:t>
            </w:r>
          </w:p>
        </w:tc>
      </w:tr>
      <w:tr w:rsidR="00E66E16" w:rsidRPr="00F53530" w14:paraId="045A3893" w14:textId="77777777" w:rsidTr="00EA7294">
        <w:trPr>
          <w:trHeight w:val="374"/>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045A388F"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&gt;1700</w:t>
            </w:r>
          </w:p>
        </w:tc>
        <w:tc>
          <w:tcPr>
            <w:tcW w:w="1419" w:type="dxa"/>
            <w:tcBorders>
              <w:top w:val="nil"/>
              <w:left w:val="nil"/>
              <w:bottom w:val="single" w:sz="4" w:space="0" w:color="auto"/>
              <w:right w:val="single" w:sz="4" w:space="0" w:color="auto"/>
            </w:tcBorders>
            <w:shd w:val="clear" w:color="auto" w:fill="auto"/>
            <w:vAlign w:val="center"/>
            <w:hideMark/>
          </w:tcPr>
          <w:p w14:paraId="045A3890"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4100</w:t>
            </w:r>
          </w:p>
        </w:tc>
        <w:tc>
          <w:tcPr>
            <w:tcW w:w="1134" w:type="dxa"/>
            <w:tcBorders>
              <w:top w:val="nil"/>
              <w:left w:val="nil"/>
              <w:bottom w:val="single" w:sz="4" w:space="0" w:color="auto"/>
              <w:right w:val="single" w:sz="4" w:space="0" w:color="auto"/>
            </w:tcBorders>
            <w:shd w:val="clear" w:color="auto" w:fill="auto"/>
            <w:vAlign w:val="center"/>
            <w:hideMark/>
          </w:tcPr>
          <w:p w14:paraId="045A3891"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28%</w:t>
            </w:r>
          </w:p>
        </w:tc>
        <w:tc>
          <w:tcPr>
            <w:tcW w:w="3237" w:type="dxa"/>
            <w:tcBorders>
              <w:top w:val="nil"/>
              <w:left w:val="nil"/>
              <w:bottom w:val="single" w:sz="4" w:space="0" w:color="auto"/>
              <w:right w:val="single" w:sz="4" w:space="0" w:color="auto"/>
            </w:tcBorders>
            <w:shd w:val="clear" w:color="auto" w:fill="auto"/>
            <w:vAlign w:val="center"/>
            <w:hideMark/>
          </w:tcPr>
          <w:p w14:paraId="045A3892"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(Base Gravable en UVT menos 1700 UVT) X 28% + 116 UVT</w:t>
            </w:r>
          </w:p>
        </w:tc>
      </w:tr>
      <w:tr w:rsidR="00E66E16" w:rsidRPr="00F53530" w14:paraId="045A3898" w14:textId="77777777" w:rsidTr="00EA7294">
        <w:trPr>
          <w:trHeight w:val="268"/>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045A3894"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&gt;4100</w:t>
            </w:r>
          </w:p>
        </w:tc>
        <w:tc>
          <w:tcPr>
            <w:tcW w:w="1419" w:type="dxa"/>
            <w:tcBorders>
              <w:top w:val="nil"/>
              <w:left w:val="nil"/>
              <w:bottom w:val="single" w:sz="4" w:space="0" w:color="auto"/>
              <w:right w:val="single" w:sz="4" w:space="0" w:color="auto"/>
            </w:tcBorders>
            <w:shd w:val="clear" w:color="auto" w:fill="auto"/>
            <w:vAlign w:val="center"/>
            <w:hideMark/>
          </w:tcPr>
          <w:p w14:paraId="045A3895"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8670</w:t>
            </w:r>
          </w:p>
        </w:tc>
        <w:tc>
          <w:tcPr>
            <w:tcW w:w="1134" w:type="dxa"/>
            <w:tcBorders>
              <w:top w:val="nil"/>
              <w:left w:val="nil"/>
              <w:bottom w:val="single" w:sz="4" w:space="0" w:color="auto"/>
              <w:right w:val="single" w:sz="4" w:space="0" w:color="auto"/>
            </w:tcBorders>
            <w:shd w:val="clear" w:color="auto" w:fill="auto"/>
            <w:vAlign w:val="center"/>
            <w:hideMark/>
          </w:tcPr>
          <w:p w14:paraId="045A3896"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33%</w:t>
            </w:r>
          </w:p>
        </w:tc>
        <w:tc>
          <w:tcPr>
            <w:tcW w:w="3237" w:type="dxa"/>
            <w:tcBorders>
              <w:top w:val="nil"/>
              <w:left w:val="nil"/>
              <w:bottom w:val="single" w:sz="4" w:space="0" w:color="auto"/>
              <w:right w:val="single" w:sz="4" w:space="0" w:color="auto"/>
            </w:tcBorders>
            <w:shd w:val="clear" w:color="auto" w:fill="auto"/>
            <w:vAlign w:val="center"/>
            <w:hideMark/>
          </w:tcPr>
          <w:p w14:paraId="045A3897"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(Base Gravable en UVT menos 4100 UVT) X 33% + 788 UVT</w:t>
            </w:r>
          </w:p>
        </w:tc>
      </w:tr>
      <w:tr w:rsidR="00E66E16" w:rsidRPr="00F53530" w14:paraId="045A389D" w14:textId="77777777" w:rsidTr="00EA7294">
        <w:trPr>
          <w:trHeight w:val="332"/>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045A3899"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&gt;8670</w:t>
            </w:r>
          </w:p>
        </w:tc>
        <w:tc>
          <w:tcPr>
            <w:tcW w:w="1419" w:type="dxa"/>
            <w:tcBorders>
              <w:top w:val="nil"/>
              <w:left w:val="nil"/>
              <w:bottom w:val="single" w:sz="4" w:space="0" w:color="auto"/>
              <w:right w:val="single" w:sz="4" w:space="0" w:color="auto"/>
            </w:tcBorders>
            <w:shd w:val="clear" w:color="auto" w:fill="auto"/>
            <w:vAlign w:val="center"/>
            <w:hideMark/>
          </w:tcPr>
          <w:p w14:paraId="045A389A"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18970</w:t>
            </w:r>
          </w:p>
        </w:tc>
        <w:tc>
          <w:tcPr>
            <w:tcW w:w="1134" w:type="dxa"/>
            <w:tcBorders>
              <w:top w:val="nil"/>
              <w:left w:val="nil"/>
              <w:bottom w:val="single" w:sz="4" w:space="0" w:color="auto"/>
              <w:right w:val="single" w:sz="4" w:space="0" w:color="auto"/>
            </w:tcBorders>
            <w:shd w:val="clear" w:color="auto" w:fill="auto"/>
            <w:vAlign w:val="center"/>
            <w:hideMark/>
          </w:tcPr>
          <w:p w14:paraId="045A389B"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35%</w:t>
            </w:r>
          </w:p>
        </w:tc>
        <w:tc>
          <w:tcPr>
            <w:tcW w:w="3237" w:type="dxa"/>
            <w:tcBorders>
              <w:top w:val="nil"/>
              <w:left w:val="nil"/>
              <w:bottom w:val="single" w:sz="4" w:space="0" w:color="auto"/>
              <w:right w:val="single" w:sz="4" w:space="0" w:color="auto"/>
            </w:tcBorders>
            <w:shd w:val="clear" w:color="auto" w:fill="auto"/>
            <w:vAlign w:val="center"/>
            <w:hideMark/>
          </w:tcPr>
          <w:p w14:paraId="045A389C"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(Base Gravable en UVT menos 8670 UVT) X 35% + 2296 UVT</w:t>
            </w:r>
          </w:p>
        </w:tc>
      </w:tr>
      <w:tr w:rsidR="00E66E16" w:rsidRPr="00F53530" w14:paraId="045A38A2" w14:textId="77777777" w:rsidTr="00EA7294">
        <w:trPr>
          <w:trHeight w:val="368"/>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045A389E"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&gt;18970</w:t>
            </w:r>
          </w:p>
        </w:tc>
        <w:tc>
          <w:tcPr>
            <w:tcW w:w="1419" w:type="dxa"/>
            <w:tcBorders>
              <w:top w:val="nil"/>
              <w:left w:val="nil"/>
              <w:bottom w:val="single" w:sz="4" w:space="0" w:color="auto"/>
              <w:right w:val="single" w:sz="4" w:space="0" w:color="auto"/>
            </w:tcBorders>
            <w:shd w:val="clear" w:color="auto" w:fill="auto"/>
            <w:vAlign w:val="center"/>
            <w:hideMark/>
          </w:tcPr>
          <w:p w14:paraId="045A389F"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31000</w:t>
            </w:r>
          </w:p>
        </w:tc>
        <w:tc>
          <w:tcPr>
            <w:tcW w:w="1134" w:type="dxa"/>
            <w:tcBorders>
              <w:top w:val="nil"/>
              <w:left w:val="nil"/>
              <w:bottom w:val="single" w:sz="4" w:space="0" w:color="auto"/>
              <w:right w:val="single" w:sz="4" w:space="0" w:color="auto"/>
            </w:tcBorders>
            <w:shd w:val="clear" w:color="auto" w:fill="auto"/>
            <w:vAlign w:val="center"/>
            <w:hideMark/>
          </w:tcPr>
          <w:p w14:paraId="045A38A0"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37%</w:t>
            </w:r>
          </w:p>
        </w:tc>
        <w:tc>
          <w:tcPr>
            <w:tcW w:w="3237" w:type="dxa"/>
            <w:tcBorders>
              <w:top w:val="nil"/>
              <w:left w:val="nil"/>
              <w:bottom w:val="single" w:sz="4" w:space="0" w:color="auto"/>
              <w:right w:val="single" w:sz="4" w:space="0" w:color="auto"/>
            </w:tcBorders>
            <w:shd w:val="clear" w:color="auto" w:fill="auto"/>
            <w:vAlign w:val="center"/>
            <w:hideMark/>
          </w:tcPr>
          <w:p w14:paraId="045A38A1"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(Base Gravable en UVT menos 18970 UVT) X 37% + 5901 UVT</w:t>
            </w:r>
          </w:p>
        </w:tc>
      </w:tr>
      <w:tr w:rsidR="00E66E16" w:rsidRPr="00F53530" w14:paraId="045A38A7" w14:textId="77777777" w:rsidTr="00EA7294">
        <w:trPr>
          <w:trHeight w:val="605"/>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045A38A3"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&gt;31000</w:t>
            </w:r>
          </w:p>
        </w:tc>
        <w:tc>
          <w:tcPr>
            <w:tcW w:w="1419" w:type="dxa"/>
            <w:tcBorders>
              <w:top w:val="nil"/>
              <w:left w:val="nil"/>
              <w:bottom w:val="single" w:sz="4" w:space="0" w:color="auto"/>
              <w:right w:val="single" w:sz="4" w:space="0" w:color="auto"/>
            </w:tcBorders>
            <w:shd w:val="clear" w:color="auto" w:fill="auto"/>
            <w:vAlign w:val="center"/>
            <w:hideMark/>
          </w:tcPr>
          <w:p w14:paraId="045A38A4"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En adelante</w:t>
            </w:r>
          </w:p>
        </w:tc>
        <w:tc>
          <w:tcPr>
            <w:tcW w:w="1134" w:type="dxa"/>
            <w:tcBorders>
              <w:top w:val="nil"/>
              <w:left w:val="nil"/>
              <w:bottom w:val="single" w:sz="4" w:space="0" w:color="auto"/>
              <w:right w:val="single" w:sz="4" w:space="0" w:color="auto"/>
            </w:tcBorders>
            <w:shd w:val="clear" w:color="auto" w:fill="auto"/>
            <w:vAlign w:val="center"/>
            <w:hideMark/>
          </w:tcPr>
          <w:p w14:paraId="045A38A5"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39%</w:t>
            </w:r>
          </w:p>
        </w:tc>
        <w:tc>
          <w:tcPr>
            <w:tcW w:w="3237" w:type="dxa"/>
            <w:tcBorders>
              <w:top w:val="nil"/>
              <w:left w:val="nil"/>
              <w:bottom w:val="single" w:sz="4" w:space="0" w:color="auto"/>
              <w:right w:val="single" w:sz="4" w:space="0" w:color="auto"/>
            </w:tcBorders>
            <w:shd w:val="clear" w:color="auto" w:fill="auto"/>
            <w:vAlign w:val="center"/>
            <w:hideMark/>
          </w:tcPr>
          <w:p w14:paraId="045A38A6" w14:textId="77777777" w:rsidR="00E66E16" w:rsidRPr="00F53530" w:rsidRDefault="00E66E16"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(Base Gravable en UVT menos 31000 UVT) X 39% + 10352 UVT</w:t>
            </w:r>
          </w:p>
        </w:tc>
      </w:tr>
    </w:tbl>
    <w:p w14:paraId="045A38A8" w14:textId="77777777" w:rsidR="00160431" w:rsidRDefault="00160431" w:rsidP="00C44821">
      <w:pPr>
        <w:spacing w:before="240" w:after="240" w:line="240" w:lineRule="auto"/>
        <w:jc w:val="both"/>
        <w:rPr>
          <w:rFonts w:ascii="Times New Roman" w:hAnsi="Times New Roman"/>
          <w:b/>
          <w:b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A9" w14:textId="77777777" w:rsidR="00040448" w:rsidRPr="00F53530" w:rsidRDefault="00040448" w:rsidP="00C44821">
      <w:pPr>
        <w:spacing w:before="240" w:after="240" w:line="240" w:lineRule="auto"/>
        <w:jc w:val="both"/>
        <w:rPr>
          <w:rFonts w:ascii="Times New Roman" w:hAnsi="Times New Roman"/>
        </w:rPr>
      </w:pPr>
      <w:r w:rsidRPr="00EA7294">
        <w:rPr>
          <w:rFonts w:ascii="Times New Roman" w:hAnsi="Times New Roman"/>
          <w:b/>
          <w:bCs/>
        </w:rPr>
        <w:t>ARTÍCULO 35.</w:t>
      </w:r>
      <w:r w:rsidR="00EA7294">
        <w:rPr>
          <w:rFonts w:ascii="Times New Roman" w:hAnsi="Times New Roman"/>
          <w:b/>
          <w:bCs/>
        </w:rPr>
        <w:t xml:space="preserve"> </w:t>
      </w:r>
      <w:r w:rsidRPr="00F53530">
        <w:rPr>
          <w:rFonts w:ascii="Times New Roman" w:hAnsi="Times New Roman"/>
        </w:rPr>
        <w:t xml:space="preserve">Modifíquese el artículo 242 del </w:t>
      </w:r>
      <w:r w:rsidR="00160431">
        <w:rPr>
          <w:rFonts w:ascii="Times New Roman" w:hAnsi="Times New Roman"/>
        </w:rPr>
        <w:t>*</w:t>
      </w:r>
      <w:r w:rsidRPr="00F53530">
        <w:rPr>
          <w:rFonts w:ascii="Times New Roman" w:hAnsi="Times New Roman"/>
        </w:rPr>
        <w:t>Estatuto Tributario, el cual quedará así:</w:t>
      </w:r>
    </w:p>
    <w:p w14:paraId="045A38AA" w14:textId="77777777" w:rsidR="00040448" w:rsidRPr="00F53530" w:rsidRDefault="00040448" w:rsidP="00C44821">
      <w:pPr>
        <w:spacing w:before="240" w:after="240" w:line="240" w:lineRule="auto"/>
        <w:jc w:val="both"/>
        <w:rPr>
          <w:rFonts w:ascii="Times New Roman" w:hAnsi="Times New Roman"/>
          <w:i/>
        </w:rPr>
      </w:pPr>
      <w:r w:rsidRPr="00D362BA">
        <w:rPr>
          <w:rFonts w:ascii="Times New Roman" w:hAnsi="Times New Roman"/>
          <w:b/>
          <w:bCs/>
          <w:i/>
        </w:rPr>
        <w:t>Artículo 242</w:t>
      </w:r>
      <w:r w:rsidR="00280B8A" w:rsidRPr="00D362BA">
        <w:rPr>
          <w:rFonts w:ascii="Times New Roman" w:hAnsi="Times New Roman"/>
          <w:b/>
          <w:bCs/>
          <w:i/>
        </w:rPr>
        <w:t>.</w:t>
      </w:r>
      <w:r w:rsidRPr="00D362BA">
        <w:rPr>
          <w:rFonts w:ascii="Times New Roman" w:hAnsi="Times New Roman"/>
          <w:b/>
          <w:bCs/>
          <w:i/>
        </w:rPr>
        <w:t xml:space="preserve"> Tarifa especial para dividendos o participaciones recibidas por personas naturales residentes</w:t>
      </w:r>
      <w:r w:rsidRPr="00F53530">
        <w:rPr>
          <w:rFonts w:ascii="Times New Roman" w:hAnsi="Times New Roman"/>
          <w:i/>
        </w:rPr>
        <w:t xml:space="preserve">. Los dividendos y participaciones pagados o abonados en cuenta a personas naturales residentes y sucesiones ilíquidas de causantes que al momento de su muerte eran residentes del país, provenientes de distribución de utilidades que hubieren sido consideradas como ingreso no </w:t>
      </w:r>
      <w:r w:rsidRPr="00F53530">
        <w:rPr>
          <w:rFonts w:ascii="Times New Roman" w:hAnsi="Times New Roman"/>
          <w:i/>
        </w:rPr>
        <w:lastRenderedPageBreak/>
        <w:t>constitutivo de renta ni ganancia ocasional, conforme a lo dispuesto en el numeral 3 del artículo 49 de este Estatuto, estarán sujetas a la siguiente tarifa del impuesto sobre la renta:</w:t>
      </w:r>
    </w:p>
    <w:tbl>
      <w:tblPr>
        <w:tblW w:w="0" w:type="auto"/>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820"/>
        <w:gridCol w:w="970"/>
        <w:gridCol w:w="928"/>
        <w:gridCol w:w="2095"/>
      </w:tblGrid>
      <w:tr w:rsidR="00FB4389" w:rsidRPr="00F53530" w14:paraId="045A38AE" w14:textId="77777777" w:rsidTr="00EA7294">
        <w:trPr>
          <w:trHeight w:val="370"/>
          <w:jc w:val="center"/>
        </w:trPr>
        <w:tc>
          <w:tcPr>
            <w:tcW w:w="1790" w:type="dxa"/>
            <w:gridSpan w:val="2"/>
            <w:shd w:val="clear" w:color="auto" w:fill="E6E7E8"/>
            <w:vAlign w:val="center"/>
          </w:tcPr>
          <w:p w14:paraId="045A38AB" w14:textId="77777777" w:rsidR="00FB4389" w:rsidRPr="00F53530" w:rsidRDefault="00FB4389" w:rsidP="00C44821">
            <w:pPr>
              <w:pStyle w:val="TableParagraph"/>
              <w:ind w:left="0"/>
              <w:jc w:val="center"/>
              <w:rPr>
                <w:b/>
                <w:i/>
                <w:lang w:val="es-CO"/>
              </w:rPr>
            </w:pPr>
            <w:r w:rsidRPr="00F53530">
              <w:rPr>
                <w:b/>
                <w:i/>
                <w:color w:val="231F20"/>
                <w:lang w:val="es-CO"/>
              </w:rPr>
              <w:t>Rangos UVT</w:t>
            </w:r>
          </w:p>
        </w:tc>
        <w:tc>
          <w:tcPr>
            <w:tcW w:w="928" w:type="dxa"/>
            <w:vMerge w:val="restart"/>
            <w:shd w:val="clear" w:color="auto" w:fill="E6E7E8"/>
            <w:vAlign w:val="center"/>
          </w:tcPr>
          <w:p w14:paraId="045A38AC" w14:textId="77777777" w:rsidR="00FB4389" w:rsidRPr="00F53530" w:rsidRDefault="00FB4389" w:rsidP="00C44821">
            <w:pPr>
              <w:pStyle w:val="TableParagraph"/>
              <w:ind w:left="0" w:right="55"/>
              <w:jc w:val="center"/>
              <w:rPr>
                <w:b/>
                <w:i/>
                <w:lang w:val="es-CO"/>
              </w:rPr>
            </w:pPr>
            <w:r w:rsidRPr="00F53530">
              <w:rPr>
                <w:b/>
                <w:i/>
                <w:color w:val="231F20"/>
                <w:lang w:val="es-CO"/>
              </w:rPr>
              <w:t>Tarifa Marginal</w:t>
            </w:r>
          </w:p>
        </w:tc>
        <w:tc>
          <w:tcPr>
            <w:tcW w:w="2095" w:type="dxa"/>
            <w:vMerge w:val="restart"/>
            <w:shd w:val="clear" w:color="auto" w:fill="E6E7E8"/>
            <w:vAlign w:val="center"/>
          </w:tcPr>
          <w:p w14:paraId="045A38AD" w14:textId="77777777" w:rsidR="00FB4389" w:rsidRPr="00F53530" w:rsidRDefault="00FB4389" w:rsidP="00C44821">
            <w:pPr>
              <w:pStyle w:val="TableParagraph"/>
              <w:ind w:left="0"/>
              <w:jc w:val="center"/>
              <w:rPr>
                <w:b/>
                <w:i/>
                <w:lang w:val="es-CO"/>
              </w:rPr>
            </w:pPr>
            <w:r w:rsidRPr="00F53530">
              <w:rPr>
                <w:b/>
                <w:i/>
                <w:color w:val="231F20"/>
                <w:lang w:val="es-CO"/>
              </w:rPr>
              <w:t>Impuesto</w:t>
            </w:r>
          </w:p>
        </w:tc>
      </w:tr>
      <w:tr w:rsidR="00FB4389" w:rsidRPr="00F53530" w14:paraId="045A38B3" w14:textId="77777777" w:rsidTr="00EA7294">
        <w:trPr>
          <w:trHeight w:val="370"/>
          <w:jc w:val="center"/>
        </w:trPr>
        <w:tc>
          <w:tcPr>
            <w:tcW w:w="820" w:type="dxa"/>
            <w:shd w:val="clear" w:color="auto" w:fill="E6E7E8"/>
            <w:vAlign w:val="center"/>
          </w:tcPr>
          <w:p w14:paraId="045A38AF" w14:textId="77777777" w:rsidR="00FB4389" w:rsidRPr="00F53530" w:rsidRDefault="00FB4389" w:rsidP="00C44821">
            <w:pPr>
              <w:pStyle w:val="TableParagraph"/>
              <w:ind w:left="0"/>
              <w:jc w:val="center"/>
              <w:rPr>
                <w:b/>
                <w:i/>
                <w:lang w:val="es-CO"/>
              </w:rPr>
            </w:pPr>
            <w:r w:rsidRPr="00F53530">
              <w:rPr>
                <w:b/>
                <w:i/>
                <w:color w:val="231F20"/>
                <w:lang w:val="es-CO"/>
              </w:rPr>
              <w:t>Desde</w:t>
            </w:r>
          </w:p>
        </w:tc>
        <w:tc>
          <w:tcPr>
            <w:tcW w:w="970" w:type="dxa"/>
            <w:shd w:val="clear" w:color="auto" w:fill="E6E7E8"/>
            <w:vAlign w:val="center"/>
          </w:tcPr>
          <w:p w14:paraId="045A38B0" w14:textId="77777777" w:rsidR="00FB4389" w:rsidRPr="00F53530" w:rsidRDefault="00FB4389" w:rsidP="00C44821">
            <w:pPr>
              <w:pStyle w:val="TableParagraph"/>
              <w:ind w:left="0"/>
              <w:jc w:val="center"/>
              <w:rPr>
                <w:b/>
                <w:i/>
                <w:lang w:val="es-CO"/>
              </w:rPr>
            </w:pPr>
            <w:r w:rsidRPr="00F53530">
              <w:rPr>
                <w:b/>
                <w:i/>
                <w:color w:val="231F20"/>
                <w:lang w:val="es-CO"/>
              </w:rPr>
              <w:t>Hasta</w:t>
            </w:r>
          </w:p>
        </w:tc>
        <w:tc>
          <w:tcPr>
            <w:tcW w:w="928" w:type="dxa"/>
            <w:vMerge/>
            <w:tcBorders>
              <w:top w:val="nil"/>
            </w:tcBorders>
            <w:shd w:val="clear" w:color="auto" w:fill="E6E7E8"/>
            <w:vAlign w:val="center"/>
          </w:tcPr>
          <w:p w14:paraId="045A38B1" w14:textId="77777777" w:rsidR="00FB4389" w:rsidRPr="00F53530" w:rsidRDefault="00FB4389" w:rsidP="00C44821">
            <w:pPr>
              <w:widowControl w:val="0"/>
              <w:autoSpaceDE w:val="0"/>
              <w:autoSpaceDN w:val="0"/>
              <w:spacing w:after="0" w:line="240" w:lineRule="auto"/>
              <w:jc w:val="center"/>
              <w:rPr>
                <w:rFonts w:ascii="Times New Roman" w:hAnsi="Times New Roman"/>
                <w:i/>
              </w:rPr>
            </w:pPr>
          </w:p>
        </w:tc>
        <w:tc>
          <w:tcPr>
            <w:tcW w:w="2095" w:type="dxa"/>
            <w:vMerge/>
            <w:tcBorders>
              <w:top w:val="nil"/>
            </w:tcBorders>
            <w:shd w:val="clear" w:color="auto" w:fill="E6E7E8"/>
            <w:vAlign w:val="center"/>
          </w:tcPr>
          <w:p w14:paraId="045A38B2" w14:textId="77777777" w:rsidR="00FB4389" w:rsidRPr="00F53530" w:rsidRDefault="00FB4389" w:rsidP="00C44821">
            <w:pPr>
              <w:widowControl w:val="0"/>
              <w:autoSpaceDE w:val="0"/>
              <w:autoSpaceDN w:val="0"/>
              <w:spacing w:after="0" w:line="240" w:lineRule="auto"/>
              <w:jc w:val="center"/>
              <w:rPr>
                <w:rFonts w:ascii="Times New Roman" w:hAnsi="Times New Roman"/>
                <w:i/>
              </w:rPr>
            </w:pPr>
          </w:p>
        </w:tc>
      </w:tr>
      <w:tr w:rsidR="00FB4389" w:rsidRPr="00F53530" w14:paraId="045A38B8" w14:textId="77777777" w:rsidTr="00EA7294">
        <w:trPr>
          <w:trHeight w:val="341"/>
          <w:jc w:val="center"/>
        </w:trPr>
        <w:tc>
          <w:tcPr>
            <w:tcW w:w="820" w:type="dxa"/>
            <w:shd w:val="clear" w:color="auto" w:fill="auto"/>
            <w:vAlign w:val="center"/>
          </w:tcPr>
          <w:p w14:paraId="045A38B4" w14:textId="77777777" w:rsidR="00FB4389" w:rsidRPr="00F53530" w:rsidRDefault="00FB4389" w:rsidP="00C44821">
            <w:pPr>
              <w:pStyle w:val="TableParagraph"/>
              <w:jc w:val="center"/>
              <w:rPr>
                <w:i/>
                <w:lang w:val="es-CO"/>
              </w:rPr>
            </w:pPr>
            <w:r w:rsidRPr="00F53530">
              <w:rPr>
                <w:i/>
                <w:color w:val="231F20"/>
                <w:lang w:val="es-CO"/>
              </w:rPr>
              <w:t>&gt;0</w:t>
            </w:r>
          </w:p>
        </w:tc>
        <w:tc>
          <w:tcPr>
            <w:tcW w:w="970" w:type="dxa"/>
            <w:shd w:val="clear" w:color="auto" w:fill="auto"/>
            <w:vAlign w:val="center"/>
          </w:tcPr>
          <w:p w14:paraId="045A38B5" w14:textId="77777777" w:rsidR="00FB4389" w:rsidRPr="00F53530" w:rsidRDefault="00FB4389" w:rsidP="00C44821">
            <w:pPr>
              <w:pStyle w:val="TableParagraph"/>
              <w:jc w:val="center"/>
              <w:rPr>
                <w:i/>
                <w:lang w:val="es-CO"/>
              </w:rPr>
            </w:pPr>
            <w:r w:rsidRPr="00F53530">
              <w:rPr>
                <w:i/>
                <w:color w:val="231F20"/>
                <w:lang w:val="es-CO"/>
              </w:rPr>
              <w:t>300</w:t>
            </w:r>
          </w:p>
        </w:tc>
        <w:tc>
          <w:tcPr>
            <w:tcW w:w="928" w:type="dxa"/>
            <w:shd w:val="clear" w:color="auto" w:fill="auto"/>
            <w:vAlign w:val="center"/>
          </w:tcPr>
          <w:p w14:paraId="045A38B6" w14:textId="77777777" w:rsidR="00FB4389" w:rsidRPr="00F53530" w:rsidRDefault="00FB4389" w:rsidP="00C44821">
            <w:pPr>
              <w:pStyle w:val="TableParagraph"/>
              <w:ind w:left="57"/>
              <w:jc w:val="center"/>
              <w:rPr>
                <w:i/>
                <w:lang w:val="es-CO"/>
              </w:rPr>
            </w:pPr>
            <w:r w:rsidRPr="00F53530">
              <w:rPr>
                <w:i/>
                <w:color w:val="231F20"/>
                <w:lang w:val="es-CO"/>
              </w:rPr>
              <w:t>0%</w:t>
            </w:r>
          </w:p>
        </w:tc>
        <w:tc>
          <w:tcPr>
            <w:tcW w:w="2095" w:type="dxa"/>
            <w:shd w:val="clear" w:color="auto" w:fill="auto"/>
            <w:vAlign w:val="center"/>
          </w:tcPr>
          <w:p w14:paraId="045A38B7" w14:textId="77777777" w:rsidR="00FB4389" w:rsidRPr="00F53530" w:rsidRDefault="00FB4389" w:rsidP="00C44821">
            <w:pPr>
              <w:pStyle w:val="TableParagraph"/>
              <w:ind w:left="57"/>
              <w:jc w:val="center"/>
              <w:rPr>
                <w:i/>
                <w:lang w:val="es-CO"/>
              </w:rPr>
            </w:pPr>
            <w:r w:rsidRPr="00F53530">
              <w:rPr>
                <w:i/>
                <w:color w:val="231F20"/>
                <w:lang w:val="es-CO"/>
              </w:rPr>
              <w:t>0</w:t>
            </w:r>
          </w:p>
        </w:tc>
      </w:tr>
      <w:tr w:rsidR="00FB4389" w:rsidRPr="00F53530" w14:paraId="045A38BD" w14:textId="77777777" w:rsidTr="00EA7294">
        <w:trPr>
          <w:trHeight w:val="842"/>
          <w:jc w:val="center"/>
        </w:trPr>
        <w:tc>
          <w:tcPr>
            <w:tcW w:w="820" w:type="dxa"/>
            <w:shd w:val="clear" w:color="auto" w:fill="auto"/>
            <w:vAlign w:val="center"/>
          </w:tcPr>
          <w:p w14:paraId="045A38B9" w14:textId="77777777" w:rsidR="00FB4389" w:rsidRPr="00F53530" w:rsidRDefault="00FB4389" w:rsidP="00C44821">
            <w:pPr>
              <w:pStyle w:val="TableParagraph"/>
              <w:jc w:val="center"/>
              <w:rPr>
                <w:i/>
                <w:lang w:val="es-CO"/>
              </w:rPr>
            </w:pPr>
            <w:r w:rsidRPr="00F53530">
              <w:rPr>
                <w:i/>
                <w:color w:val="231F20"/>
                <w:lang w:val="es-CO"/>
              </w:rPr>
              <w:t>&gt;300</w:t>
            </w:r>
          </w:p>
        </w:tc>
        <w:tc>
          <w:tcPr>
            <w:tcW w:w="970" w:type="dxa"/>
            <w:shd w:val="clear" w:color="auto" w:fill="auto"/>
            <w:vAlign w:val="center"/>
          </w:tcPr>
          <w:p w14:paraId="045A38BA" w14:textId="77777777" w:rsidR="00FB4389" w:rsidRPr="00F53530" w:rsidRDefault="00FB4389" w:rsidP="00C44821">
            <w:pPr>
              <w:pStyle w:val="TableParagraph"/>
              <w:jc w:val="center"/>
              <w:rPr>
                <w:i/>
                <w:lang w:val="es-CO"/>
              </w:rPr>
            </w:pPr>
            <w:r w:rsidRPr="00F53530">
              <w:rPr>
                <w:i/>
                <w:color w:val="231F20"/>
                <w:lang w:val="es-CO"/>
              </w:rPr>
              <w:t>En adelante</w:t>
            </w:r>
          </w:p>
        </w:tc>
        <w:tc>
          <w:tcPr>
            <w:tcW w:w="928" w:type="dxa"/>
            <w:shd w:val="clear" w:color="auto" w:fill="auto"/>
            <w:vAlign w:val="center"/>
          </w:tcPr>
          <w:p w14:paraId="045A38BB" w14:textId="77777777" w:rsidR="00FB4389" w:rsidRPr="00F53530" w:rsidRDefault="00FB4389" w:rsidP="00C44821">
            <w:pPr>
              <w:pStyle w:val="TableParagraph"/>
              <w:ind w:left="57"/>
              <w:jc w:val="center"/>
              <w:rPr>
                <w:i/>
                <w:lang w:val="es-CO"/>
              </w:rPr>
            </w:pPr>
            <w:r w:rsidRPr="00F53530">
              <w:rPr>
                <w:i/>
                <w:color w:val="231F20"/>
                <w:lang w:val="es-CO"/>
              </w:rPr>
              <w:t>10%</w:t>
            </w:r>
          </w:p>
        </w:tc>
        <w:tc>
          <w:tcPr>
            <w:tcW w:w="2095" w:type="dxa"/>
            <w:shd w:val="clear" w:color="auto" w:fill="auto"/>
            <w:vAlign w:val="center"/>
          </w:tcPr>
          <w:p w14:paraId="045A38BC" w14:textId="77777777" w:rsidR="00FB4389" w:rsidRPr="00F53530" w:rsidRDefault="00FB4389" w:rsidP="00C44821">
            <w:pPr>
              <w:pStyle w:val="TableParagraph"/>
              <w:ind w:left="57"/>
              <w:jc w:val="center"/>
              <w:rPr>
                <w:i/>
                <w:lang w:val="es-CO"/>
              </w:rPr>
            </w:pPr>
            <w:r w:rsidRPr="00F53530">
              <w:rPr>
                <w:i/>
                <w:color w:val="231F20"/>
                <w:u w:color="231F20"/>
                <w:lang w:val="es-CO"/>
              </w:rPr>
              <w:t>(Dividendos en UVT</w:t>
            </w:r>
            <w:r w:rsidRPr="00F53530">
              <w:rPr>
                <w:i/>
                <w:color w:val="231F20"/>
                <w:lang w:val="es-CO"/>
              </w:rPr>
              <w:t xml:space="preserve"> </w:t>
            </w:r>
            <w:r w:rsidRPr="00F53530">
              <w:rPr>
                <w:i/>
                <w:color w:val="231F20"/>
                <w:u w:color="231F20"/>
                <w:lang w:val="es-CO"/>
              </w:rPr>
              <w:t xml:space="preserve">menos 300 UVT) x </w:t>
            </w:r>
            <w:r w:rsidRPr="00F53530">
              <w:rPr>
                <w:i/>
                <w:color w:val="231F20"/>
                <w:u w:val="single" w:color="231F20"/>
                <w:lang w:val="es-CO"/>
              </w:rPr>
              <w:t>10%</w:t>
            </w:r>
          </w:p>
        </w:tc>
      </w:tr>
    </w:tbl>
    <w:p w14:paraId="045A38B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dividendos y participaciones pagados o abonados en cuenta a personas naturales residentes y sucesiones ilíquidas de causantes que al momento de su muerte eran residentes del país, provenientes de distribuciones de utilidades gravadas conforme a lo dispuesto en el parágrafo 2 del artículo 49 de este Estatuto, estarán sujetos a la tarifa señalada en el artículo 240 de este Estatuto, según el periodo gravable en que se paguen o abonen en cuenta, caso en el cual el impuesto señalado en el inciso anterior, se aplicará una vez disminuido este impuesto. A esta misma tarifa estarán gravados los dividendos y participaciones recibidos de sociedades y entidades extranjeras.</w:t>
      </w:r>
    </w:p>
    <w:p w14:paraId="045A38BF" w14:textId="77777777" w:rsidR="00040448" w:rsidRPr="00F53530" w:rsidRDefault="00280B8A" w:rsidP="00C44821">
      <w:pPr>
        <w:spacing w:before="240" w:after="240" w:line="240" w:lineRule="auto"/>
        <w:jc w:val="both"/>
        <w:rPr>
          <w:rFonts w:ascii="Times New Roman" w:hAnsi="Times New Roman"/>
          <w:i/>
        </w:rPr>
      </w:pPr>
      <w:r w:rsidRPr="00D362BA">
        <w:rPr>
          <w:rFonts w:ascii="Times New Roman" w:hAnsi="Times New Roman"/>
          <w:b/>
          <w:bCs/>
          <w:i/>
        </w:rPr>
        <w:t>PARÁGRAFO.</w:t>
      </w:r>
      <w:r w:rsidRPr="00F53530">
        <w:rPr>
          <w:rFonts w:ascii="Times New Roman" w:hAnsi="Times New Roman"/>
          <w:i/>
        </w:rPr>
        <w:t xml:space="preserve"> </w:t>
      </w:r>
      <w:r w:rsidR="00040448" w:rsidRPr="00F53530">
        <w:rPr>
          <w:rFonts w:ascii="Times New Roman" w:hAnsi="Times New Roman"/>
          <w:i/>
        </w:rPr>
        <w:t>El impuesto sobre la renta de que trata este artículo será retenido en la fuente sobre el valor bruto de los pagos o abonos en cuenta por concepto de dividendos o participaciones.</w:t>
      </w:r>
    </w:p>
    <w:p w14:paraId="045A38C0"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La retención en la fuente del artículo 242-1 del </w:t>
      </w:r>
      <w:r w:rsidR="00160431">
        <w:rPr>
          <w:rFonts w:ascii="Times New Roman" w:hAnsi="Times New Roman"/>
          <w:i/>
        </w:rPr>
        <w:t>*</w:t>
      </w:r>
      <w:r w:rsidRPr="00F53530">
        <w:rPr>
          <w:rFonts w:ascii="Times New Roman" w:hAnsi="Times New Roman"/>
          <w:i/>
        </w:rPr>
        <w:t>Estatuto Tributario será descontable para el accionista persona natural residente. En estos casos el impuesto sobre la renta se reduciría en el valor de la retención en la fuente trasladada al accionista persona natural residente.</w:t>
      </w:r>
    </w:p>
    <w:p w14:paraId="045A38C1" w14:textId="77777777" w:rsidR="00160431" w:rsidRPr="00F53530" w:rsidRDefault="00160431"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C2" w14:textId="77777777" w:rsidR="00040448" w:rsidRPr="00F53530" w:rsidRDefault="00040448" w:rsidP="00C44821">
      <w:pPr>
        <w:spacing w:before="240" w:after="240" w:line="240" w:lineRule="auto"/>
        <w:jc w:val="both"/>
        <w:rPr>
          <w:rFonts w:ascii="Times New Roman" w:hAnsi="Times New Roman"/>
        </w:rPr>
      </w:pPr>
      <w:r w:rsidRPr="00EA7294">
        <w:rPr>
          <w:rFonts w:ascii="Times New Roman" w:hAnsi="Times New Roman"/>
          <w:b/>
          <w:bCs/>
        </w:rPr>
        <w:t>ARTÍCULO 36.</w:t>
      </w:r>
      <w:r w:rsidR="00EA7294">
        <w:rPr>
          <w:rFonts w:ascii="Times New Roman" w:hAnsi="Times New Roman"/>
          <w:b/>
          <w:bCs/>
        </w:rPr>
        <w:t xml:space="preserve"> </w:t>
      </w:r>
      <w:r w:rsidRPr="00F53530">
        <w:rPr>
          <w:rFonts w:ascii="Times New Roman" w:hAnsi="Times New Roman"/>
        </w:rPr>
        <w:t xml:space="preserve">Adiciónese el artículo 303-1 al </w:t>
      </w:r>
      <w:r w:rsidR="00160431">
        <w:rPr>
          <w:rFonts w:ascii="Times New Roman" w:hAnsi="Times New Roman"/>
        </w:rPr>
        <w:t>*</w:t>
      </w:r>
      <w:r w:rsidRPr="00F53530">
        <w:rPr>
          <w:rFonts w:ascii="Times New Roman" w:hAnsi="Times New Roman"/>
        </w:rPr>
        <w:t>Estatuto Tributario, el cual quedará así:</w:t>
      </w:r>
    </w:p>
    <w:p w14:paraId="045A38C3" w14:textId="77777777" w:rsidR="00040448" w:rsidRDefault="00040448" w:rsidP="00C44821">
      <w:pPr>
        <w:spacing w:before="240" w:after="240" w:line="240" w:lineRule="auto"/>
        <w:jc w:val="both"/>
        <w:rPr>
          <w:rFonts w:ascii="Times New Roman" w:hAnsi="Times New Roman"/>
          <w:i/>
        </w:rPr>
      </w:pPr>
      <w:r w:rsidRPr="00D362BA">
        <w:rPr>
          <w:rFonts w:ascii="Times New Roman" w:hAnsi="Times New Roman"/>
          <w:b/>
          <w:bCs/>
          <w:i/>
        </w:rPr>
        <w:t>Artículo 303-1</w:t>
      </w:r>
      <w:r w:rsidR="00280B8A" w:rsidRPr="00D362BA">
        <w:rPr>
          <w:rFonts w:ascii="Times New Roman" w:hAnsi="Times New Roman"/>
          <w:b/>
          <w:bCs/>
          <w:i/>
        </w:rPr>
        <w:t>.</w:t>
      </w:r>
      <w:r w:rsidRPr="00D362BA">
        <w:rPr>
          <w:rFonts w:ascii="Times New Roman" w:hAnsi="Times New Roman"/>
          <w:b/>
          <w:bCs/>
          <w:i/>
        </w:rPr>
        <w:t xml:space="preserve"> Ganancia ocasional derivada de indemnizaciones por concepto de seguros de vida. </w:t>
      </w:r>
      <w:r w:rsidRPr="00F53530">
        <w:rPr>
          <w:rFonts w:ascii="Times New Roman" w:hAnsi="Times New Roman"/>
          <w:i/>
        </w:rPr>
        <w:t>Las indemnizaciones por seguros de vida, están gravadas con la tarifa aplicable a las ganancias ocasionales, en el monto que supere doce mil quinientas (12.500) UVT. El monto que no supere las doce mil quinientas (12.500) UVT será considerado como una ganancia ocasional exenta.</w:t>
      </w:r>
    </w:p>
    <w:p w14:paraId="045A38C4" w14:textId="77777777" w:rsidR="00160431" w:rsidRPr="00F53530" w:rsidRDefault="00160431"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C5" w14:textId="77777777" w:rsidR="00040448" w:rsidRPr="00F53530" w:rsidRDefault="00040448" w:rsidP="00C44821">
      <w:pPr>
        <w:spacing w:before="240" w:after="240" w:line="240" w:lineRule="auto"/>
        <w:jc w:val="both"/>
        <w:rPr>
          <w:rFonts w:ascii="Times New Roman" w:hAnsi="Times New Roman"/>
        </w:rPr>
      </w:pPr>
      <w:r w:rsidRPr="00EA7294">
        <w:rPr>
          <w:rFonts w:ascii="Times New Roman" w:hAnsi="Times New Roman"/>
          <w:b/>
          <w:bCs/>
        </w:rPr>
        <w:t>ARTÍCULO 37.</w:t>
      </w:r>
      <w:r w:rsidR="00EA7294">
        <w:rPr>
          <w:rFonts w:ascii="Times New Roman" w:hAnsi="Times New Roman"/>
          <w:b/>
          <w:bCs/>
        </w:rPr>
        <w:t xml:space="preserve"> </w:t>
      </w:r>
      <w:r w:rsidRPr="00F53530">
        <w:rPr>
          <w:rFonts w:ascii="Times New Roman" w:hAnsi="Times New Roman"/>
        </w:rPr>
        <w:t xml:space="preserve">Modifíquese el artículo 330 del </w:t>
      </w:r>
      <w:r w:rsidR="00160431">
        <w:rPr>
          <w:rFonts w:ascii="Times New Roman" w:hAnsi="Times New Roman"/>
        </w:rPr>
        <w:t>*</w:t>
      </w:r>
      <w:r w:rsidRPr="00F53530">
        <w:rPr>
          <w:rFonts w:ascii="Times New Roman" w:hAnsi="Times New Roman"/>
        </w:rPr>
        <w:t>Estatuto Tributario, el cual quedará así:</w:t>
      </w:r>
    </w:p>
    <w:p w14:paraId="045A38C6" w14:textId="77777777" w:rsidR="00040448" w:rsidRPr="00F53530" w:rsidRDefault="00040448" w:rsidP="00C44821">
      <w:pPr>
        <w:spacing w:before="240" w:after="240" w:line="240" w:lineRule="auto"/>
        <w:jc w:val="both"/>
        <w:rPr>
          <w:rFonts w:ascii="Times New Roman" w:hAnsi="Times New Roman"/>
          <w:i/>
        </w:rPr>
      </w:pPr>
      <w:r w:rsidRPr="00D362BA">
        <w:rPr>
          <w:rFonts w:ascii="Times New Roman" w:hAnsi="Times New Roman"/>
          <w:b/>
          <w:bCs/>
          <w:i/>
        </w:rPr>
        <w:t>Artículo 330</w:t>
      </w:r>
      <w:r w:rsidR="00280B8A" w:rsidRPr="00D362BA">
        <w:rPr>
          <w:rFonts w:ascii="Times New Roman" w:hAnsi="Times New Roman"/>
          <w:b/>
          <w:bCs/>
          <w:i/>
        </w:rPr>
        <w:t>.</w:t>
      </w:r>
      <w:r w:rsidRPr="00D362BA">
        <w:rPr>
          <w:rFonts w:ascii="Times New Roman" w:hAnsi="Times New Roman"/>
          <w:b/>
          <w:bCs/>
          <w:i/>
        </w:rPr>
        <w:t xml:space="preserve"> Determinación cedular.</w:t>
      </w:r>
      <w:r w:rsidRPr="00F53530">
        <w:rPr>
          <w:rFonts w:ascii="Times New Roman" w:hAnsi="Times New Roman"/>
          <w:i/>
        </w:rPr>
        <w:t xml:space="preserve"> La depuración de las rentas correspondientes a cada una de las cédulas a que se refiere este artículo se efectuará de manera independiente, siguiendo las reglas establecidas en el artículo 26 de este Estatuto aplicables a cada caso. El resultado constituirá la renta líquida cedular.</w:t>
      </w:r>
    </w:p>
    <w:p w14:paraId="045A38C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Los conceptos de ingresos no constitutivos de renta, costos, gastos, deducciones, rentas exentas, beneficios tributarios y demás conceptos susceptibles de ser restados para efectos de obtener la renta </w:t>
      </w:r>
      <w:r w:rsidRPr="00F53530">
        <w:rPr>
          <w:rFonts w:ascii="Times New Roman" w:hAnsi="Times New Roman"/>
          <w:i/>
        </w:rPr>
        <w:lastRenderedPageBreak/>
        <w:t>líquida cedular, no podrán ser objeto de reconocimiento simultáneo en distintas cédulas ni generarán doble beneficio.</w:t>
      </w:r>
    </w:p>
    <w:p w14:paraId="045A38C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depuración se efectuará de modo independiente en las siguientes tres (3) cédulas:</w:t>
      </w:r>
    </w:p>
    <w:p w14:paraId="045A38C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Rentas de trabajo, de capital y no laborales</w:t>
      </w:r>
    </w:p>
    <w:p w14:paraId="045A38C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Rentas de pensiones, y</w:t>
      </w:r>
    </w:p>
    <w:p w14:paraId="045A38C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Dividendos y participaciones.</w:t>
      </w:r>
    </w:p>
    <w:p w14:paraId="045A38C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cédula de dividendos y participaciones no admite costos ni deducciones.</w:t>
      </w:r>
    </w:p>
    <w:p w14:paraId="045A38C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Las pérdidas incurridas dentro de una cédula solo podrán ser compensadas contra las rentas de la misma cédula, en los siguientes periodos gravables, teniendo en cuenta los límites y porcentajes de compensación establecidos en las normas vigentes.</w:t>
      </w:r>
    </w:p>
    <w:p w14:paraId="045A38CE" w14:textId="77777777" w:rsidR="00040448" w:rsidRDefault="00280B8A" w:rsidP="00C44821">
      <w:pPr>
        <w:spacing w:before="240" w:after="240" w:line="240" w:lineRule="auto"/>
        <w:jc w:val="both"/>
        <w:rPr>
          <w:rFonts w:ascii="Times New Roman" w:hAnsi="Times New Roman"/>
          <w:i/>
        </w:rPr>
      </w:pPr>
      <w:r w:rsidRPr="00FB66C0">
        <w:rPr>
          <w:rFonts w:ascii="Times New Roman" w:hAnsi="Times New Roman"/>
          <w:b/>
          <w:bCs/>
          <w:i/>
        </w:rPr>
        <w:t>PARÁGRAFO TRANSITORIO.</w:t>
      </w:r>
      <w:r w:rsidRPr="00F53530">
        <w:rPr>
          <w:rFonts w:ascii="Times New Roman" w:hAnsi="Times New Roman"/>
          <w:i/>
        </w:rPr>
        <w:t xml:space="preserve"> </w:t>
      </w:r>
      <w:r w:rsidR="00040448" w:rsidRPr="00F53530">
        <w:rPr>
          <w:rFonts w:ascii="Times New Roman" w:hAnsi="Times New Roman"/>
          <w:i/>
        </w:rPr>
        <w:t>Las pérdidas declaradas en períodos gravables anteriores al periodo gravable 2019 únicamente podrán ser imputadas en contra de la cédula general, teniendo en cuenta los límites y porcentajes de compensación establecidos en las normas vigentes.</w:t>
      </w:r>
    </w:p>
    <w:p w14:paraId="045A38CF" w14:textId="77777777" w:rsidR="00160431" w:rsidRPr="00F53530" w:rsidRDefault="00160431"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D0" w14:textId="77777777" w:rsidR="00040448" w:rsidRPr="00F53530" w:rsidRDefault="00040448" w:rsidP="00C44821">
      <w:pPr>
        <w:spacing w:before="240" w:after="240" w:line="240" w:lineRule="auto"/>
        <w:jc w:val="both"/>
        <w:rPr>
          <w:rFonts w:ascii="Times New Roman" w:hAnsi="Times New Roman"/>
        </w:rPr>
      </w:pPr>
      <w:r w:rsidRPr="00EA7294">
        <w:rPr>
          <w:rFonts w:ascii="Times New Roman" w:hAnsi="Times New Roman"/>
          <w:b/>
          <w:bCs/>
        </w:rPr>
        <w:t>ARTÍCULO 38.</w:t>
      </w:r>
      <w:r w:rsidR="00EA7294">
        <w:rPr>
          <w:rFonts w:ascii="Times New Roman" w:hAnsi="Times New Roman"/>
          <w:b/>
          <w:bCs/>
        </w:rPr>
        <w:t xml:space="preserve"> </w:t>
      </w:r>
      <w:r w:rsidRPr="00F53530">
        <w:rPr>
          <w:rFonts w:ascii="Times New Roman" w:hAnsi="Times New Roman"/>
        </w:rPr>
        <w:t xml:space="preserve">Modifíquese el artículo 331 del </w:t>
      </w:r>
      <w:r w:rsidR="00160431">
        <w:rPr>
          <w:rFonts w:ascii="Times New Roman" w:hAnsi="Times New Roman"/>
        </w:rPr>
        <w:t>*</w:t>
      </w:r>
      <w:r w:rsidRPr="00F53530">
        <w:rPr>
          <w:rFonts w:ascii="Times New Roman" w:hAnsi="Times New Roman"/>
        </w:rPr>
        <w:t>Estatuto Tributario, el cual quedará así:</w:t>
      </w:r>
    </w:p>
    <w:p w14:paraId="045A38D1" w14:textId="77777777" w:rsidR="00040448" w:rsidRPr="00F53530" w:rsidRDefault="00040448" w:rsidP="00C44821">
      <w:pPr>
        <w:spacing w:before="240" w:after="240" w:line="240" w:lineRule="auto"/>
        <w:jc w:val="both"/>
        <w:rPr>
          <w:rFonts w:ascii="Times New Roman" w:hAnsi="Times New Roman"/>
          <w:i/>
        </w:rPr>
      </w:pPr>
      <w:r w:rsidRPr="00FB66C0">
        <w:rPr>
          <w:rFonts w:ascii="Times New Roman" w:hAnsi="Times New Roman"/>
          <w:b/>
          <w:bCs/>
          <w:i/>
        </w:rPr>
        <w:t>Artículo 331</w:t>
      </w:r>
      <w:r w:rsidR="00280B8A" w:rsidRPr="00FB66C0">
        <w:rPr>
          <w:rFonts w:ascii="Times New Roman" w:hAnsi="Times New Roman"/>
          <w:b/>
          <w:bCs/>
          <w:i/>
        </w:rPr>
        <w:t>.</w:t>
      </w:r>
      <w:r w:rsidRPr="00FB66C0">
        <w:rPr>
          <w:rFonts w:ascii="Times New Roman" w:hAnsi="Times New Roman"/>
          <w:b/>
          <w:bCs/>
          <w:i/>
        </w:rPr>
        <w:t xml:space="preserve"> Rentas líquidas gravables.</w:t>
      </w:r>
      <w:r w:rsidRPr="00F53530">
        <w:rPr>
          <w:rFonts w:ascii="Times New Roman" w:hAnsi="Times New Roman"/>
          <w:i/>
        </w:rPr>
        <w:t xml:space="preserve"> Para efectos de determinar las rentas líquidas gravables a las que le serán aplicables las tarifas establecidas en el artículo 241 de este Estatuto, se seguirán las siguientes reglas:</w:t>
      </w:r>
    </w:p>
    <w:p w14:paraId="045A38D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Se sumarán las rentas líquidas cedulares obtenidas en las rentas de trabajo, de capital, no laborales y de pensiones. A esta renta líquida gravable le será aplicable la tarifa señalada en el artículo 241 de este Estatuto.</w:t>
      </w:r>
    </w:p>
    <w:p w14:paraId="045A38D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Las pérdidas de las rentas líquidas cedulares no se sumarán para efectos de determinar la renta líquida gravable. En cualquier caso, podrán compensarse en los términos del artículo 330 de este Estatuto.</w:t>
      </w:r>
    </w:p>
    <w:p w14:paraId="045A38D4" w14:textId="77777777" w:rsidR="00040448" w:rsidRDefault="00280B8A" w:rsidP="00C44821">
      <w:pPr>
        <w:spacing w:before="240" w:after="240" w:line="240" w:lineRule="auto"/>
        <w:jc w:val="both"/>
        <w:rPr>
          <w:rFonts w:ascii="Times New Roman" w:hAnsi="Times New Roman"/>
          <w:i/>
        </w:rPr>
      </w:pPr>
      <w:r w:rsidRPr="00FB66C0">
        <w:rPr>
          <w:rFonts w:ascii="Times New Roman" w:hAnsi="Times New Roman"/>
          <w:b/>
          <w:bCs/>
          <w:i/>
        </w:rPr>
        <w:t>PARÁGRAFO.</w:t>
      </w:r>
      <w:r w:rsidRPr="00F53530">
        <w:rPr>
          <w:rFonts w:ascii="Times New Roman" w:hAnsi="Times New Roman"/>
          <w:i/>
        </w:rPr>
        <w:t xml:space="preserve"> </w:t>
      </w:r>
      <w:r w:rsidR="00040448" w:rsidRPr="00F53530">
        <w:rPr>
          <w:rFonts w:ascii="Times New Roman" w:hAnsi="Times New Roman"/>
          <w:i/>
        </w:rPr>
        <w:t>A la renta líquida cedular obtenida en la cédula de dividendos y participaciones le será aplicable la tarifa establecida en el artículo 242 de este Estatuto.</w:t>
      </w:r>
    </w:p>
    <w:p w14:paraId="045A38D5" w14:textId="77777777" w:rsidR="00160431" w:rsidRPr="00F53530" w:rsidRDefault="00160431"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D6" w14:textId="77777777" w:rsidR="00040448" w:rsidRPr="00F53530" w:rsidRDefault="00040448" w:rsidP="00C44821">
      <w:pPr>
        <w:spacing w:before="240" w:after="240" w:line="240" w:lineRule="auto"/>
        <w:jc w:val="both"/>
        <w:rPr>
          <w:rFonts w:ascii="Times New Roman" w:hAnsi="Times New Roman"/>
        </w:rPr>
      </w:pPr>
      <w:r w:rsidRPr="00EA7294">
        <w:rPr>
          <w:rFonts w:ascii="Times New Roman" w:hAnsi="Times New Roman"/>
          <w:b/>
          <w:bCs/>
        </w:rPr>
        <w:t>ARTÍCULO 39.</w:t>
      </w:r>
      <w:r w:rsidR="00EA7294">
        <w:rPr>
          <w:rFonts w:ascii="Times New Roman" w:hAnsi="Times New Roman"/>
          <w:b/>
          <w:bCs/>
        </w:rPr>
        <w:t xml:space="preserve"> </w:t>
      </w:r>
      <w:r w:rsidRPr="00F53530">
        <w:rPr>
          <w:rFonts w:ascii="Times New Roman" w:hAnsi="Times New Roman"/>
        </w:rPr>
        <w:t xml:space="preserve">Modifíquese el artículo 333 del </w:t>
      </w:r>
      <w:r w:rsidR="00F1097D">
        <w:rPr>
          <w:rFonts w:ascii="Times New Roman" w:hAnsi="Times New Roman"/>
        </w:rPr>
        <w:t>*</w:t>
      </w:r>
      <w:r w:rsidRPr="00F53530">
        <w:rPr>
          <w:rFonts w:ascii="Times New Roman" w:hAnsi="Times New Roman"/>
        </w:rPr>
        <w:t>Estatuto Tributario, el cual quedará así:</w:t>
      </w:r>
    </w:p>
    <w:p w14:paraId="045A38D7" w14:textId="77777777" w:rsidR="00040448" w:rsidRDefault="00040448" w:rsidP="00C44821">
      <w:pPr>
        <w:spacing w:before="240" w:after="240" w:line="240" w:lineRule="auto"/>
        <w:jc w:val="both"/>
        <w:rPr>
          <w:rFonts w:ascii="Times New Roman" w:hAnsi="Times New Roman"/>
          <w:i/>
        </w:rPr>
      </w:pPr>
      <w:r w:rsidRPr="00FB66C0">
        <w:rPr>
          <w:rFonts w:ascii="Times New Roman" w:hAnsi="Times New Roman"/>
          <w:b/>
          <w:bCs/>
          <w:i/>
        </w:rPr>
        <w:t>Artículo 333 Base de renta presuntiva.</w:t>
      </w:r>
      <w:r w:rsidRPr="00F53530">
        <w:rPr>
          <w:rFonts w:ascii="Times New Roman" w:hAnsi="Times New Roman"/>
          <w:i/>
        </w:rPr>
        <w:t xml:space="preserve"> Para efectos de los artículos 188 y siguientes de este Estatuto, la base de renta presuntiva del contribuyente se comparará con la renta de la cédula general.</w:t>
      </w:r>
    </w:p>
    <w:p w14:paraId="045A38D8" w14:textId="77777777" w:rsidR="00F1097D" w:rsidRPr="00F53530" w:rsidRDefault="00F1097D" w:rsidP="00C44821">
      <w:pPr>
        <w:spacing w:before="240" w:after="240" w:line="240" w:lineRule="auto"/>
        <w:jc w:val="both"/>
        <w:rPr>
          <w:rFonts w:ascii="Times New Roman" w:hAnsi="Times New Roman"/>
          <w:i/>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D9" w14:textId="77777777" w:rsidR="00040448" w:rsidRPr="00F53530" w:rsidRDefault="00040448" w:rsidP="00C44821">
      <w:pPr>
        <w:spacing w:before="240" w:after="240" w:line="240" w:lineRule="auto"/>
        <w:jc w:val="both"/>
        <w:rPr>
          <w:rFonts w:ascii="Times New Roman" w:hAnsi="Times New Roman"/>
        </w:rPr>
      </w:pPr>
      <w:r w:rsidRPr="00A43B82">
        <w:rPr>
          <w:rFonts w:ascii="Times New Roman" w:hAnsi="Times New Roman"/>
          <w:b/>
          <w:bCs/>
        </w:rPr>
        <w:t>ARTÍCULO 40.</w:t>
      </w:r>
      <w:r w:rsidR="00A43B82">
        <w:rPr>
          <w:rFonts w:ascii="Times New Roman" w:hAnsi="Times New Roman"/>
          <w:b/>
          <w:bCs/>
        </w:rPr>
        <w:t xml:space="preserve"> </w:t>
      </w:r>
      <w:r w:rsidRPr="00F53530">
        <w:rPr>
          <w:rFonts w:ascii="Times New Roman" w:hAnsi="Times New Roman"/>
        </w:rPr>
        <w:t xml:space="preserve">Modifíquese el artículo 335 del </w:t>
      </w:r>
      <w:r w:rsidR="00A97ADB">
        <w:rPr>
          <w:rFonts w:ascii="Times New Roman" w:hAnsi="Times New Roman"/>
        </w:rPr>
        <w:t>*</w:t>
      </w:r>
      <w:r w:rsidRPr="00F53530">
        <w:rPr>
          <w:rFonts w:ascii="Times New Roman" w:hAnsi="Times New Roman"/>
        </w:rPr>
        <w:t>Estatuto Tributario, el cual quedará así:</w:t>
      </w:r>
    </w:p>
    <w:p w14:paraId="045A38DA" w14:textId="77777777" w:rsidR="00040448" w:rsidRPr="00F53530" w:rsidRDefault="00040448" w:rsidP="00C44821">
      <w:pPr>
        <w:spacing w:before="240" w:after="240" w:line="240" w:lineRule="auto"/>
        <w:jc w:val="both"/>
        <w:rPr>
          <w:rFonts w:ascii="Times New Roman" w:hAnsi="Times New Roman"/>
          <w:i/>
        </w:rPr>
      </w:pPr>
      <w:r w:rsidRPr="00AC3781">
        <w:rPr>
          <w:rFonts w:ascii="Times New Roman" w:hAnsi="Times New Roman"/>
          <w:b/>
          <w:bCs/>
          <w:i/>
        </w:rPr>
        <w:t>Artículo 335</w:t>
      </w:r>
      <w:r w:rsidR="00280B8A" w:rsidRPr="00AC3781">
        <w:rPr>
          <w:rFonts w:ascii="Times New Roman" w:hAnsi="Times New Roman"/>
          <w:b/>
          <w:bCs/>
          <w:i/>
        </w:rPr>
        <w:t>.</w:t>
      </w:r>
      <w:r w:rsidRPr="00AC3781">
        <w:rPr>
          <w:rFonts w:ascii="Times New Roman" w:hAnsi="Times New Roman"/>
          <w:b/>
          <w:bCs/>
          <w:i/>
        </w:rPr>
        <w:t xml:space="preserve"> Ingresos de la cédula general.</w:t>
      </w:r>
      <w:r w:rsidRPr="00F53530">
        <w:rPr>
          <w:rFonts w:ascii="Times New Roman" w:hAnsi="Times New Roman"/>
          <w:i/>
        </w:rPr>
        <w:t xml:space="preserve"> Para los efectos de este título, son ingresos de la cédula general los siguientes:</w:t>
      </w:r>
    </w:p>
    <w:p w14:paraId="045A38D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Rentas de trabajo: las señaladas en el artículo 103 de este Estatuto.</w:t>
      </w:r>
    </w:p>
    <w:p w14:paraId="045A38D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Rentas de capital: las obtenidas por concepto de intereses, rendimientos financieros, arrendamientos, regalías y explotación de la propiedad intelectual.</w:t>
      </w:r>
    </w:p>
    <w:p w14:paraId="045A38DD"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3. Rentas no laborales: se consideran ingresos de las rentas no laborales todos los que no se clasifiquen expresamente en ninguna otra cédula, con excepción de los dividendos y las ganancias ocasionales, que se rigen según sus reglas especiales.</w:t>
      </w:r>
    </w:p>
    <w:p w14:paraId="045A38DE" w14:textId="77777777" w:rsidR="00A97ADB" w:rsidRPr="00A97ADB" w:rsidRDefault="00A97ADB" w:rsidP="00C44821">
      <w:pPr>
        <w:spacing w:before="240" w:after="240" w:line="240" w:lineRule="auto"/>
        <w:jc w:val="both"/>
        <w:rPr>
          <w:rFonts w:ascii="Times New Roman" w:hAnsi="Times New Roman"/>
          <w:i/>
          <w:u w:val="single"/>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DF" w14:textId="77777777" w:rsidR="00040448" w:rsidRPr="00F53530" w:rsidRDefault="00040448" w:rsidP="00C44821">
      <w:pPr>
        <w:spacing w:before="240" w:after="240" w:line="240" w:lineRule="auto"/>
        <w:jc w:val="both"/>
        <w:rPr>
          <w:rFonts w:ascii="Times New Roman" w:hAnsi="Times New Roman"/>
        </w:rPr>
      </w:pPr>
      <w:r w:rsidRPr="00A43B82">
        <w:rPr>
          <w:rFonts w:ascii="Times New Roman" w:hAnsi="Times New Roman"/>
          <w:b/>
          <w:bCs/>
        </w:rPr>
        <w:t>ARTÍCULO 41.</w:t>
      </w:r>
      <w:r w:rsidR="00A43B82">
        <w:rPr>
          <w:rFonts w:ascii="Times New Roman" w:hAnsi="Times New Roman"/>
          <w:b/>
          <w:bCs/>
        </w:rPr>
        <w:t xml:space="preserve"> </w:t>
      </w:r>
      <w:r w:rsidRPr="00F53530">
        <w:rPr>
          <w:rFonts w:ascii="Times New Roman" w:hAnsi="Times New Roman"/>
        </w:rPr>
        <w:t xml:space="preserve">Modifíquese el artículo 336 del </w:t>
      </w:r>
      <w:r w:rsidR="00A97ADB">
        <w:rPr>
          <w:rFonts w:ascii="Times New Roman" w:hAnsi="Times New Roman"/>
        </w:rPr>
        <w:t>*</w:t>
      </w:r>
      <w:r w:rsidRPr="00F53530">
        <w:rPr>
          <w:rFonts w:ascii="Times New Roman" w:hAnsi="Times New Roman"/>
        </w:rPr>
        <w:t>Estatuto Tributario, el cual quedará así:</w:t>
      </w:r>
    </w:p>
    <w:p w14:paraId="045A38E0" w14:textId="77777777" w:rsidR="00040448" w:rsidRPr="00F53530" w:rsidRDefault="00040448" w:rsidP="00C44821">
      <w:pPr>
        <w:spacing w:before="240" w:after="240" w:line="240" w:lineRule="auto"/>
        <w:jc w:val="both"/>
        <w:rPr>
          <w:rFonts w:ascii="Times New Roman" w:hAnsi="Times New Roman"/>
          <w:i/>
        </w:rPr>
      </w:pPr>
      <w:r w:rsidRPr="00AC3781">
        <w:rPr>
          <w:rFonts w:ascii="Times New Roman" w:hAnsi="Times New Roman"/>
          <w:b/>
          <w:bCs/>
          <w:i/>
        </w:rPr>
        <w:t>Artículo 336</w:t>
      </w:r>
      <w:r w:rsidR="00280B8A" w:rsidRPr="00AC3781">
        <w:rPr>
          <w:rFonts w:ascii="Times New Roman" w:hAnsi="Times New Roman"/>
          <w:b/>
          <w:bCs/>
          <w:i/>
        </w:rPr>
        <w:t>.</w:t>
      </w:r>
      <w:r w:rsidRPr="00AC3781">
        <w:rPr>
          <w:rFonts w:ascii="Times New Roman" w:hAnsi="Times New Roman"/>
          <w:b/>
          <w:bCs/>
          <w:i/>
        </w:rPr>
        <w:t xml:space="preserve"> Renta líquida gravable de la cédula general.</w:t>
      </w:r>
      <w:r w:rsidRPr="00F53530">
        <w:rPr>
          <w:rFonts w:ascii="Times New Roman" w:hAnsi="Times New Roman"/>
          <w:i/>
        </w:rPr>
        <w:t xml:space="preserve"> Para efectos de establecer la renta líquida de la cédula general, se seguirán las siguientes reglas:</w:t>
      </w:r>
    </w:p>
    <w:p w14:paraId="045A38E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Se sumarán los ingresos obtenidos por todo concepto excepto los correspondientes a dividendos y ganancias ocasionales.</w:t>
      </w:r>
    </w:p>
    <w:p w14:paraId="045A38E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A la suma anterior, se le restarán los ingresos no constitutivos de renta imputables a cada ingreso.</w:t>
      </w:r>
    </w:p>
    <w:p w14:paraId="045A38E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Al valor resultante podrán restarse todas las rentas exentas y las deducciones especiales imputables a esta cédula, siempre que no excedan el cuarenta (40%) del resultado del numeral anterior, que en todo caso no puede exceder de cinco mil cuarenta (5.040) UVT.</w:t>
      </w:r>
    </w:p>
    <w:p w14:paraId="045A38E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4. En la depuración de las rentas no laborales y las rentas de capital se podrán restar los costos y los gastos que cumplan con los requisitos generales para su procedencia establecidos en las normas de este Estatuto y que sean imputables a estas rentas específicas.</w:t>
      </w:r>
    </w:p>
    <w:p w14:paraId="045A38E5"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En estos mismos términos también se podrán restar los costos y los gastos asociados a rentas de trabajo provenientes de honorarios o compensaciones por servicios personales, en desarrollo de una actividad profesional independiente. Los contribuyentes a los que les resulte aplicable el parágrafo 5 del artículo 206 del </w:t>
      </w:r>
      <w:r w:rsidR="00A97ADB">
        <w:rPr>
          <w:rFonts w:ascii="Times New Roman" w:hAnsi="Times New Roman"/>
          <w:i/>
        </w:rPr>
        <w:t>*</w:t>
      </w:r>
      <w:r w:rsidRPr="00F53530">
        <w:rPr>
          <w:rFonts w:ascii="Times New Roman" w:hAnsi="Times New Roman"/>
          <w:i/>
        </w:rPr>
        <w:t>Estatuto Tributario deberán optar entre restar los costos y gastos procedentes o la renta exenta prevista en el numeral 10 del mismo artículo.</w:t>
      </w:r>
    </w:p>
    <w:p w14:paraId="045A38E6" w14:textId="77777777" w:rsidR="00A97ADB" w:rsidRPr="00F53530" w:rsidRDefault="00A97ADB"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8E7" w14:textId="77777777" w:rsidR="00040448" w:rsidRPr="00F53530" w:rsidRDefault="00040448" w:rsidP="00C44821">
      <w:pPr>
        <w:spacing w:before="240" w:after="240" w:line="240" w:lineRule="auto"/>
        <w:jc w:val="both"/>
        <w:rPr>
          <w:rFonts w:ascii="Times New Roman" w:hAnsi="Times New Roman"/>
        </w:rPr>
      </w:pPr>
      <w:r w:rsidRPr="00A43B82">
        <w:rPr>
          <w:rFonts w:ascii="Times New Roman" w:hAnsi="Times New Roman"/>
          <w:b/>
          <w:bCs/>
        </w:rPr>
        <w:t>ARTÍCULO 42.</w:t>
      </w:r>
      <w:r w:rsidR="00A43B82">
        <w:rPr>
          <w:rFonts w:ascii="Times New Roman" w:hAnsi="Times New Roman"/>
          <w:b/>
          <w:bCs/>
        </w:rPr>
        <w:t xml:space="preserve"> </w:t>
      </w:r>
      <w:r w:rsidRPr="00F53530">
        <w:rPr>
          <w:rFonts w:ascii="Times New Roman" w:hAnsi="Times New Roman"/>
        </w:rPr>
        <w:t xml:space="preserve">Modifíquense el inciso primero y la tabla de retención en la fuente del artículo 383 del </w:t>
      </w:r>
      <w:r w:rsidR="00A97ADB">
        <w:rPr>
          <w:rFonts w:ascii="Times New Roman" w:hAnsi="Times New Roman"/>
        </w:rPr>
        <w:t>*</w:t>
      </w:r>
      <w:r w:rsidRPr="00F53530">
        <w:rPr>
          <w:rFonts w:ascii="Times New Roman" w:hAnsi="Times New Roman"/>
        </w:rPr>
        <w:t>Estatuto Tributario, los cuales quedarán así:</w:t>
      </w:r>
    </w:p>
    <w:p w14:paraId="045A38E8" w14:textId="77777777" w:rsidR="00040448" w:rsidRDefault="00040448" w:rsidP="00C44821">
      <w:pPr>
        <w:spacing w:before="240" w:after="240" w:line="240" w:lineRule="auto"/>
        <w:jc w:val="both"/>
        <w:rPr>
          <w:rFonts w:ascii="Times New Roman" w:hAnsi="Times New Roman"/>
          <w:i/>
        </w:rPr>
      </w:pPr>
      <w:r w:rsidRPr="00AC3781">
        <w:rPr>
          <w:rFonts w:ascii="Times New Roman" w:hAnsi="Times New Roman"/>
          <w:b/>
          <w:bCs/>
          <w:i/>
        </w:rPr>
        <w:lastRenderedPageBreak/>
        <w:t>Artículo 383</w:t>
      </w:r>
      <w:r w:rsidR="00280B8A" w:rsidRPr="00AC3781">
        <w:rPr>
          <w:rFonts w:ascii="Times New Roman" w:hAnsi="Times New Roman"/>
          <w:b/>
          <w:bCs/>
          <w:i/>
        </w:rPr>
        <w:t>.</w:t>
      </w:r>
      <w:r w:rsidRPr="00AC3781">
        <w:rPr>
          <w:rFonts w:ascii="Times New Roman" w:hAnsi="Times New Roman"/>
          <w:b/>
          <w:bCs/>
          <w:i/>
        </w:rPr>
        <w:t xml:space="preserve"> Tarifa.</w:t>
      </w:r>
      <w:r w:rsidRPr="00F53530">
        <w:rPr>
          <w:rFonts w:ascii="Times New Roman" w:hAnsi="Times New Roman"/>
          <w:i/>
        </w:rPr>
        <w:t xml:space="preserve"> La retención en la fuente aplicable a los pagos gravables efectuados por las personas naturales o jurídicas, las sociedades de hecho, las comunidades organizadas y las sucesiones ilíquidas, originados en la relación laboral, o legal y reglamentaria, y los pagos recibidos por concepto de pensiones de jubilación, invalidez, vejez, de sobrevivientes y sobre riesgos laborales, será la que resulte de aplicar a dichos pagos la siguiente tabla de retención en la fuente:</w:t>
      </w:r>
    </w:p>
    <w:tbl>
      <w:tblPr>
        <w:tblW w:w="0" w:type="auto"/>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939"/>
        <w:gridCol w:w="1276"/>
        <w:gridCol w:w="1134"/>
        <w:gridCol w:w="3544"/>
      </w:tblGrid>
      <w:tr w:rsidR="00FB4389" w:rsidRPr="00F53530" w14:paraId="045A38EC" w14:textId="77777777" w:rsidTr="00A43B82">
        <w:trPr>
          <w:trHeight w:val="719"/>
          <w:jc w:val="center"/>
        </w:trPr>
        <w:tc>
          <w:tcPr>
            <w:tcW w:w="2215" w:type="dxa"/>
            <w:gridSpan w:val="2"/>
            <w:shd w:val="clear" w:color="auto" w:fill="D9D9D9"/>
            <w:vAlign w:val="center"/>
          </w:tcPr>
          <w:p w14:paraId="045A38E9" w14:textId="77777777" w:rsidR="00FB4389" w:rsidRPr="00F53530" w:rsidRDefault="00FB4389" w:rsidP="00C44821">
            <w:pPr>
              <w:pStyle w:val="TableParagraph"/>
              <w:ind w:left="0" w:right="249"/>
              <w:jc w:val="center"/>
              <w:rPr>
                <w:b/>
                <w:i/>
                <w:lang w:val="es-CO"/>
              </w:rPr>
            </w:pPr>
            <w:r w:rsidRPr="00F53530">
              <w:rPr>
                <w:b/>
                <w:i/>
                <w:color w:val="231F20"/>
                <w:lang w:val="es-CO"/>
              </w:rPr>
              <w:t>Rango en UVT</w:t>
            </w:r>
          </w:p>
        </w:tc>
        <w:tc>
          <w:tcPr>
            <w:tcW w:w="1134" w:type="dxa"/>
            <w:vMerge w:val="restart"/>
            <w:shd w:val="clear" w:color="auto" w:fill="D9D9D9"/>
            <w:vAlign w:val="center"/>
          </w:tcPr>
          <w:p w14:paraId="045A38EA" w14:textId="77777777" w:rsidR="00FB4389" w:rsidRPr="00F53530" w:rsidRDefault="00FB4389" w:rsidP="00C44821">
            <w:pPr>
              <w:pStyle w:val="TableParagraph"/>
              <w:ind w:left="0" w:right="43"/>
              <w:jc w:val="center"/>
              <w:rPr>
                <w:b/>
                <w:i/>
                <w:lang w:val="es-CO"/>
              </w:rPr>
            </w:pPr>
            <w:r w:rsidRPr="00F53530">
              <w:rPr>
                <w:b/>
                <w:i/>
                <w:color w:val="231F20"/>
                <w:lang w:val="es-CO"/>
              </w:rPr>
              <w:t>Tarifa Marginal</w:t>
            </w:r>
          </w:p>
        </w:tc>
        <w:tc>
          <w:tcPr>
            <w:tcW w:w="3544" w:type="dxa"/>
            <w:vMerge w:val="restart"/>
            <w:shd w:val="clear" w:color="auto" w:fill="D9D9D9"/>
            <w:vAlign w:val="center"/>
          </w:tcPr>
          <w:p w14:paraId="045A38EB" w14:textId="77777777" w:rsidR="00FB4389" w:rsidRPr="00F53530" w:rsidRDefault="00FB4389" w:rsidP="00C44821">
            <w:pPr>
              <w:pStyle w:val="TableParagraph"/>
              <w:ind w:left="0"/>
              <w:jc w:val="center"/>
              <w:rPr>
                <w:b/>
                <w:i/>
                <w:lang w:val="es-CO"/>
              </w:rPr>
            </w:pPr>
            <w:r w:rsidRPr="00F53530">
              <w:rPr>
                <w:b/>
                <w:i/>
                <w:color w:val="231F20"/>
                <w:lang w:val="es-CO"/>
              </w:rPr>
              <w:t>Retención en la fuente</w:t>
            </w:r>
          </w:p>
        </w:tc>
      </w:tr>
      <w:tr w:rsidR="00FB4389" w:rsidRPr="00F53530" w14:paraId="045A38F1" w14:textId="77777777" w:rsidTr="00A43B82">
        <w:trPr>
          <w:trHeight w:val="506"/>
          <w:jc w:val="center"/>
        </w:trPr>
        <w:tc>
          <w:tcPr>
            <w:tcW w:w="939" w:type="dxa"/>
            <w:shd w:val="clear" w:color="auto" w:fill="D9D9D9"/>
            <w:vAlign w:val="center"/>
          </w:tcPr>
          <w:p w14:paraId="045A38ED" w14:textId="77777777" w:rsidR="00FB4389" w:rsidRPr="00F53530" w:rsidRDefault="00FB4389" w:rsidP="00C44821">
            <w:pPr>
              <w:pStyle w:val="TableParagraph"/>
              <w:ind w:left="0"/>
              <w:jc w:val="center"/>
              <w:rPr>
                <w:b/>
                <w:i/>
                <w:lang w:val="es-CO"/>
              </w:rPr>
            </w:pPr>
            <w:r w:rsidRPr="00F53530">
              <w:rPr>
                <w:b/>
                <w:i/>
                <w:color w:val="231F20"/>
                <w:lang w:val="es-CO"/>
              </w:rPr>
              <w:t>Desde</w:t>
            </w:r>
          </w:p>
        </w:tc>
        <w:tc>
          <w:tcPr>
            <w:tcW w:w="1276" w:type="dxa"/>
            <w:shd w:val="clear" w:color="auto" w:fill="D9D9D9"/>
            <w:vAlign w:val="center"/>
          </w:tcPr>
          <w:p w14:paraId="045A38EE" w14:textId="77777777" w:rsidR="00FB4389" w:rsidRPr="00F53530" w:rsidRDefault="00FB4389" w:rsidP="00C44821">
            <w:pPr>
              <w:pStyle w:val="TableParagraph"/>
              <w:ind w:left="0"/>
              <w:jc w:val="center"/>
              <w:rPr>
                <w:b/>
                <w:i/>
                <w:lang w:val="es-CO"/>
              </w:rPr>
            </w:pPr>
            <w:r w:rsidRPr="00F53530">
              <w:rPr>
                <w:b/>
                <w:i/>
                <w:color w:val="231F20"/>
                <w:lang w:val="es-CO"/>
              </w:rPr>
              <w:t>Hasta</w:t>
            </w:r>
          </w:p>
        </w:tc>
        <w:tc>
          <w:tcPr>
            <w:tcW w:w="1134" w:type="dxa"/>
            <w:vMerge/>
            <w:shd w:val="clear" w:color="auto" w:fill="auto"/>
            <w:vAlign w:val="center"/>
          </w:tcPr>
          <w:p w14:paraId="045A38EF" w14:textId="77777777" w:rsidR="00FB4389" w:rsidRPr="00F53530" w:rsidRDefault="00FB4389" w:rsidP="00C44821">
            <w:pPr>
              <w:pStyle w:val="TableParagraph"/>
              <w:ind w:left="0"/>
              <w:jc w:val="center"/>
              <w:rPr>
                <w:i/>
                <w:lang w:val="es-CO"/>
              </w:rPr>
            </w:pPr>
          </w:p>
        </w:tc>
        <w:tc>
          <w:tcPr>
            <w:tcW w:w="3544" w:type="dxa"/>
            <w:vMerge/>
            <w:shd w:val="clear" w:color="auto" w:fill="auto"/>
            <w:vAlign w:val="center"/>
          </w:tcPr>
          <w:p w14:paraId="045A38F0" w14:textId="77777777" w:rsidR="00FB4389" w:rsidRPr="00F53530" w:rsidRDefault="00FB4389" w:rsidP="00C44821">
            <w:pPr>
              <w:pStyle w:val="TableParagraph"/>
              <w:ind w:left="0"/>
              <w:jc w:val="center"/>
              <w:rPr>
                <w:i/>
                <w:lang w:val="es-CO"/>
              </w:rPr>
            </w:pPr>
          </w:p>
        </w:tc>
      </w:tr>
      <w:tr w:rsidR="00FB4389" w:rsidRPr="00F53530" w14:paraId="045A38F6" w14:textId="77777777" w:rsidTr="00A43B82">
        <w:trPr>
          <w:trHeight w:val="428"/>
          <w:jc w:val="center"/>
        </w:trPr>
        <w:tc>
          <w:tcPr>
            <w:tcW w:w="939" w:type="dxa"/>
            <w:shd w:val="clear" w:color="auto" w:fill="auto"/>
            <w:vAlign w:val="center"/>
          </w:tcPr>
          <w:p w14:paraId="045A38F2" w14:textId="77777777" w:rsidR="00FB4389" w:rsidRPr="00F53530" w:rsidRDefault="00FB4389" w:rsidP="00C44821">
            <w:pPr>
              <w:pStyle w:val="TableParagraph"/>
              <w:jc w:val="center"/>
              <w:rPr>
                <w:i/>
                <w:lang w:val="es-CO"/>
              </w:rPr>
            </w:pPr>
            <w:r w:rsidRPr="00F53530">
              <w:rPr>
                <w:i/>
                <w:color w:val="231F20"/>
                <w:lang w:val="es-CO"/>
              </w:rPr>
              <w:t>&gt;0</w:t>
            </w:r>
          </w:p>
        </w:tc>
        <w:tc>
          <w:tcPr>
            <w:tcW w:w="1276" w:type="dxa"/>
            <w:shd w:val="clear" w:color="auto" w:fill="auto"/>
            <w:vAlign w:val="center"/>
          </w:tcPr>
          <w:p w14:paraId="045A38F3" w14:textId="77777777" w:rsidR="00FB4389" w:rsidRPr="00F53530" w:rsidRDefault="00FB4389" w:rsidP="00C44821">
            <w:pPr>
              <w:pStyle w:val="TableParagraph"/>
              <w:jc w:val="center"/>
              <w:rPr>
                <w:i/>
                <w:lang w:val="es-CO"/>
              </w:rPr>
            </w:pPr>
            <w:r w:rsidRPr="00F53530">
              <w:rPr>
                <w:i/>
                <w:color w:val="231F20"/>
                <w:lang w:val="es-CO"/>
              </w:rPr>
              <w:t>95</w:t>
            </w:r>
          </w:p>
        </w:tc>
        <w:tc>
          <w:tcPr>
            <w:tcW w:w="1134" w:type="dxa"/>
            <w:shd w:val="clear" w:color="auto" w:fill="auto"/>
            <w:vAlign w:val="center"/>
          </w:tcPr>
          <w:p w14:paraId="045A38F4" w14:textId="77777777" w:rsidR="00FB4389" w:rsidRPr="00F53530" w:rsidRDefault="00FB4389" w:rsidP="00C44821">
            <w:pPr>
              <w:pStyle w:val="TableParagraph"/>
              <w:jc w:val="center"/>
              <w:rPr>
                <w:i/>
                <w:lang w:val="es-CO"/>
              </w:rPr>
            </w:pPr>
            <w:r w:rsidRPr="00F53530">
              <w:rPr>
                <w:i/>
                <w:color w:val="231F20"/>
                <w:lang w:val="es-CO"/>
              </w:rPr>
              <w:t>0,0%</w:t>
            </w:r>
          </w:p>
        </w:tc>
        <w:tc>
          <w:tcPr>
            <w:tcW w:w="3544" w:type="dxa"/>
            <w:shd w:val="clear" w:color="auto" w:fill="auto"/>
            <w:vAlign w:val="center"/>
          </w:tcPr>
          <w:p w14:paraId="045A38F5" w14:textId="77777777" w:rsidR="00FB4389" w:rsidRPr="00F53530" w:rsidRDefault="00FB4389" w:rsidP="00C44821">
            <w:pPr>
              <w:pStyle w:val="TableParagraph"/>
              <w:ind w:left="55"/>
              <w:jc w:val="center"/>
              <w:rPr>
                <w:i/>
                <w:lang w:val="es-CO"/>
              </w:rPr>
            </w:pPr>
            <w:r w:rsidRPr="00F53530">
              <w:rPr>
                <w:i/>
                <w:color w:val="231F20"/>
                <w:lang w:val="es-CO"/>
              </w:rPr>
              <w:t>0</w:t>
            </w:r>
          </w:p>
        </w:tc>
      </w:tr>
      <w:tr w:rsidR="00FB4389" w:rsidRPr="00F53530" w14:paraId="045A38FB" w14:textId="77777777" w:rsidTr="00A43B82">
        <w:trPr>
          <w:trHeight w:val="727"/>
          <w:jc w:val="center"/>
        </w:trPr>
        <w:tc>
          <w:tcPr>
            <w:tcW w:w="939" w:type="dxa"/>
            <w:shd w:val="clear" w:color="auto" w:fill="auto"/>
            <w:vAlign w:val="center"/>
          </w:tcPr>
          <w:p w14:paraId="045A38F7" w14:textId="77777777" w:rsidR="00FB4389" w:rsidRPr="00F53530" w:rsidRDefault="00FB4389" w:rsidP="00C44821">
            <w:pPr>
              <w:pStyle w:val="TableParagraph"/>
              <w:jc w:val="center"/>
              <w:rPr>
                <w:i/>
                <w:lang w:val="es-CO"/>
              </w:rPr>
            </w:pPr>
            <w:r w:rsidRPr="00F53530">
              <w:rPr>
                <w:i/>
                <w:color w:val="231F20"/>
                <w:lang w:val="es-CO"/>
              </w:rPr>
              <w:t>&gt;95</w:t>
            </w:r>
          </w:p>
        </w:tc>
        <w:tc>
          <w:tcPr>
            <w:tcW w:w="1276" w:type="dxa"/>
            <w:shd w:val="clear" w:color="auto" w:fill="auto"/>
            <w:vAlign w:val="center"/>
          </w:tcPr>
          <w:p w14:paraId="045A38F8" w14:textId="77777777" w:rsidR="00FB4389" w:rsidRPr="00F53530" w:rsidRDefault="00FB4389" w:rsidP="00C44821">
            <w:pPr>
              <w:pStyle w:val="TableParagraph"/>
              <w:jc w:val="center"/>
              <w:rPr>
                <w:i/>
                <w:lang w:val="es-CO"/>
              </w:rPr>
            </w:pPr>
            <w:r w:rsidRPr="00F53530">
              <w:rPr>
                <w:i/>
                <w:color w:val="231F20"/>
                <w:lang w:val="es-CO"/>
              </w:rPr>
              <w:t>150</w:t>
            </w:r>
          </w:p>
        </w:tc>
        <w:tc>
          <w:tcPr>
            <w:tcW w:w="1134" w:type="dxa"/>
            <w:shd w:val="clear" w:color="auto" w:fill="auto"/>
            <w:vAlign w:val="center"/>
          </w:tcPr>
          <w:p w14:paraId="045A38F9" w14:textId="77777777" w:rsidR="00FB4389" w:rsidRPr="00F53530" w:rsidRDefault="00FB4389" w:rsidP="00C44821">
            <w:pPr>
              <w:pStyle w:val="TableParagraph"/>
              <w:jc w:val="center"/>
              <w:rPr>
                <w:i/>
                <w:lang w:val="es-CO"/>
              </w:rPr>
            </w:pPr>
            <w:r w:rsidRPr="00F53530">
              <w:rPr>
                <w:i/>
                <w:color w:val="231F20"/>
                <w:lang w:val="es-CO"/>
              </w:rPr>
              <w:t>19,0%</w:t>
            </w:r>
          </w:p>
        </w:tc>
        <w:tc>
          <w:tcPr>
            <w:tcW w:w="3544" w:type="dxa"/>
            <w:shd w:val="clear" w:color="auto" w:fill="auto"/>
            <w:vAlign w:val="center"/>
          </w:tcPr>
          <w:p w14:paraId="045A38FA" w14:textId="77777777" w:rsidR="00FB4389" w:rsidRPr="00F53530" w:rsidRDefault="00FB4389" w:rsidP="00C44821">
            <w:pPr>
              <w:pStyle w:val="TableParagraph"/>
              <w:ind w:left="55" w:right="50"/>
              <w:jc w:val="center"/>
              <w:rPr>
                <w:i/>
                <w:lang w:val="es-CO"/>
              </w:rPr>
            </w:pPr>
            <w:r w:rsidRPr="00F53530">
              <w:rPr>
                <w:i/>
                <w:color w:val="231F20"/>
                <w:lang w:val="es-CO"/>
              </w:rPr>
              <w:t xml:space="preserve">(Ingreso laboral gravado </w:t>
            </w:r>
            <w:r w:rsidRPr="00F53530">
              <w:rPr>
                <w:i/>
                <w:color w:val="231F20"/>
                <w:spacing w:val="-6"/>
                <w:lang w:val="es-CO"/>
              </w:rPr>
              <w:t>ex</w:t>
            </w:r>
            <w:r w:rsidRPr="00F53530">
              <w:rPr>
                <w:i/>
                <w:color w:val="231F20"/>
                <w:lang w:val="es-CO"/>
              </w:rPr>
              <w:t xml:space="preserve">presado en UVT menos </w:t>
            </w:r>
            <w:r w:rsidRPr="00F53530">
              <w:rPr>
                <w:i/>
                <w:color w:val="231F20"/>
                <w:spacing w:val="-8"/>
                <w:lang w:val="es-CO"/>
              </w:rPr>
              <w:t xml:space="preserve">95 </w:t>
            </w:r>
            <w:r w:rsidRPr="00F53530">
              <w:rPr>
                <w:i/>
                <w:color w:val="231F20"/>
                <w:lang w:val="es-CO"/>
              </w:rPr>
              <w:t>UVT)*19%</w:t>
            </w:r>
          </w:p>
        </w:tc>
      </w:tr>
      <w:tr w:rsidR="00FB4389" w:rsidRPr="00F53530" w14:paraId="045A3900" w14:textId="77777777" w:rsidTr="00A43B82">
        <w:trPr>
          <w:trHeight w:val="727"/>
          <w:jc w:val="center"/>
        </w:trPr>
        <w:tc>
          <w:tcPr>
            <w:tcW w:w="939" w:type="dxa"/>
            <w:shd w:val="clear" w:color="auto" w:fill="auto"/>
            <w:vAlign w:val="center"/>
          </w:tcPr>
          <w:p w14:paraId="045A38FC" w14:textId="77777777" w:rsidR="00FB4389" w:rsidRPr="00F53530" w:rsidRDefault="00FB4389" w:rsidP="00C44821">
            <w:pPr>
              <w:pStyle w:val="TableParagraph"/>
              <w:jc w:val="center"/>
              <w:rPr>
                <w:i/>
                <w:lang w:val="es-CO"/>
              </w:rPr>
            </w:pPr>
            <w:r w:rsidRPr="00F53530">
              <w:rPr>
                <w:i/>
                <w:color w:val="231F20"/>
                <w:lang w:val="es-CO"/>
              </w:rPr>
              <w:t>&gt;150</w:t>
            </w:r>
          </w:p>
        </w:tc>
        <w:tc>
          <w:tcPr>
            <w:tcW w:w="1276" w:type="dxa"/>
            <w:shd w:val="clear" w:color="auto" w:fill="auto"/>
            <w:vAlign w:val="center"/>
          </w:tcPr>
          <w:p w14:paraId="045A38FD" w14:textId="77777777" w:rsidR="00FB4389" w:rsidRPr="00F53530" w:rsidRDefault="00FB4389" w:rsidP="00C44821">
            <w:pPr>
              <w:pStyle w:val="TableParagraph"/>
              <w:jc w:val="center"/>
              <w:rPr>
                <w:i/>
                <w:lang w:val="es-CO"/>
              </w:rPr>
            </w:pPr>
            <w:r w:rsidRPr="00F53530">
              <w:rPr>
                <w:i/>
                <w:color w:val="231F20"/>
                <w:lang w:val="es-CO"/>
              </w:rPr>
              <w:t>360</w:t>
            </w:r>
          </w:p>
        </w:tc>
        <w:tc>
          <w:tcPr>
            <w:tcW w:w="1134" w:type="dxa"/>
            <w:shd w:val="clear" w:color="auto" w:fill="auto"/>
            <w:vAlign w:val="center"/>
          </w:tcPr>
          <w:p w14:paraId="045A38FE" w14:textId="77777777" w:rsidR="00FB4389" w:rsidRPr="00F53530" w:rsidRDefault="00FB4389" w:rsidP="00C44821">
            <w:pPr>
              <w:pStyle w:val="TableParagraph"/>
              <w:jc w:val="center"/>
              <w:rPr>
                <w:i/>
                <w:lang w:val="es-CO"/>
              </w:rPr>
            </w:pPr>
            <w:r w:rsidRPr="00F53530">
              <w:rPr>
                <w:i/>
                <w:color w:val="231F20"/>
                <w:lang w:val="es-CO"/>
              </w:rPr>
              <w:t>28,0%</w:t>
            </w:r>
          </w:p>
        </w:tc>
        <w:tc>
          <w:tcPr>
            <w:tcW w:w="3544" w:type="dxa"/>
            <w:shd w:val="clear" w:color="auto" w:fill="auto"/>
            <w:vAlign w:val="center"/>
          </w:tcPr>
          <w:p w14:paraId="045A38FF" w14:textId="77777777" w:rsidR="00FB4389" w:rsidRPr="00F53530" w:rsidRDefault="00FB4389" w:rsidP="00C44821">
            <w:pPr>
              <w:pStyle w:val="TableParagraph"/>
              <w:ind w:left="55" w:right="50"/>
              <w:jc w:val="center"/>
              <w:rPr>
                <w:i/>
                <w:lang w:val="es-CO"/>
              </w:rPr>
            </w:pPr>
            <w:r w:rsidRPr="00F53530">
              <w:rPr>
                <w:i/>
                <w:color w:val="231F20"/>
                <w:lang w:val="es-CO"/>
              </w:rPr>
              <w:t xml:space="preserve">(Ingreso laboral gravado </w:t>
            </w:r>
            <w:r w:rsidRPr="00F53530">
              <w:rPr>
                <w:i/>
                <w:color w:val="231F20"/>
                <w:spacing w:val="-6"/>
                <w:lang w:val="es-CO"/>
              </w:rPr>
              <w:t>ex</w:t>
            </w:r>
            <w:r w:rsidRPr="00F53530">
              <w:rPr>
                <w:i/>
                <w:color w:val="231F20"/>
                <w:lang w:val="es-CO"/>
              </w:rPr>
              <w:t xml:space="preserve">presado en UVT menos </w:t>
            </w:r>
            <w:r w:rsidRPr="00F53530">
              <w:rPr>
                <w:i/>
                <w:color w:val="231F20"/>
                <w:spacing w:val="-6"/>
                <w:lang w:val="es-CO"/>
              </w:rPr>
              <w:t xml:space="preserve">150 </w:t>
            </w:r>
            <w:r w:rsidRPr="00F53530">
              <w:rPr>
                <w:i/>
                <w:color w:val="231F20"/>
                <w:lang w:val="es-CO"/>
              </w:rPr>
              <w:t>UVT)*28%+10 UVT</w:t>
            </w:r>
          </w:p>
        </w:tc>
      </w:tr>
      <w:tr w:rsidR="00FB4389" w:rsidRPr="00F53530" w14:paraId="045A3905" w14:textId="77777777" w:rsidTr="00A43B82">
        <w:trPr>
          <w:trHeight w:val="727"/>
          <w:jc w:val="center"/>
        </w:trPr>
        <w:tc>
          <w:tcPr>
            <w:tcW w:w="939" w:type="dxa"/>
            <w:shd w:val="clear" w:color="auto" w:fill="auto"/>
            <w:vAlign w:val="center"/>
          </w:tcPr>
          <w:p w14:paraId="045A3901" w14:textId="77777777" w:rsidR="00FB4389" w:rsidRPr="00F53530" w:rsidRDefault="00FB4389" w:rsidP="00C44821">
            <w:pPr>
              <w:pStyle w:val="TableParagraph"/>
              <w:jc w:val="center"/>
              <w:rPr>
                <w:i/>
                <w:lang w:val="es-CO"/>
              </w:rPr>
            </w:pPr>
            <w:r w:rsidRPr="00F53530">
              <w:rPr>
                <w:i/>
                <w:color w:val="231F20"/>
                <w:lang w:val="es-CO"/>
              </w:rPr>
              <w:t>&gt;360</w:t>
            </w:r>
          </w:p>
        </w:tc>
        <w:tc>
          <w:tcPr>
            <w:tcW w:w="1276" w:type="dxa"/>
            <w:shd w:val="clear" w:color="auto" w:fill="auto"/>
            <w:vAlign w:val="center"/>
          </w:tcPr>
          <w:p w14:paraId="045A3902" w14:textId="77777777" w:rsidR="00FB4389" w:rsidRPr="00F53530" w:rsidRDefault="00FB4389" w:rsidP="00C44821">
            <w:pPr>
              <w:pStyle w:val="TableParagraph"/>
              <w:jc w:val="center"/>
              <w:rPr>
                <w:i/>
                <w:lang w:val="es-CO"/>
              </w:rPr>
            </w:pPr>
            <w:r w:rsidRPr="00F53530">
              <w:rPr>
                <w:i/>
                <w:color w:val="231F20"/>
                <w:lang w:val="es-CO"/>
              </w:rPr>
              <w:t>640</w:t>
            </w:r>
          </w:p>
        </w:tc>
        <w:tc>
          <w:tcPr>
            <w:tcW w:w="1134" w:type="dxa"/>
            <w:shd w:val="clear" w:color="auto" w:fill="auto"/>
            <w:vAlign w:val="center"/>
          </w:tcPr>
          <w:p w14:paraId="045A3903" w14:textId="77777777" w:rsidR="00FB4389" w:rsidRPr="00F53530" w:rsidRDefault="00FB4389" w:rsidP="00C44821">
            <w:pPr>
              <w:pStyle w:val="TableParagraph"/>
              <w:jc w:val="center"/>
              <w:rPr>
                <w:i/>
                <w:lang w:val="es-CO"/>
              </w:rPr>
            </w:pPr>
            <w:r w:rsidRPr="00F53530">
              <w:rPr>
                <w:i/>
                <w:color w:val="231F20"/>
                <w:lang w:val="es-CO"/>
              </w:rPr>
              <w:t>33,0%</w:t>
            </w:r>
          </w:p>
        </w:tc>
        <w:tc>
          <w:tcPr>
            <w:tcW w:w="3544" w:type="dxa"/>
            <w:shd w:val="clear" w:color="auto" w:fill="auto"/>
            <w:vAlign w:val="center"/>
          </w:tcPr>
          <w:p w14:paraId="045A3904" w14:textId="77777777" w:rsidR="00FB4389" w:rsidRPr="00F53530" w:rsidRDefault="00FB4389" w:rsidP="00C44821">
            <w:pPr>
              <w:pStyle w:val="TableParagraph"/>
              <w:ind w:left="55" w:right="50"/>
              <w:jc w:val="center"/>
              <w:rPr>
                <w:i/>
                <w:lang w:val="es-CO"/>
              </w:rPr>
            </w:pPr>
            <w:r w:rsidRPr="00F53530">
              <w:rPr>
                <w:i/>
                <w:color w:val="231F20"/>
                <w:lang w:val="es-CO"/>
              </w:rPr>
              <w:t xml:space="preserve">(Ingreso laboral gravado </w:t>
            </w:r>
            <w:r w:rsidRPr="00F53530">
              <w:rPr>
                <w:i/>
                <w:color w:val="231F20"/>
                <w:spacing w:val="-6"/>
                <w:lang w:val="es-CO"/>
              </w:rPr>
              <w:t>ex</w:t>
            </w:r>
            <w:r w:rsidRPr="00F53530">
              <w:rPr>
                <w:i/>
                <w:color w:val="231F20"/>
                <w:lang w:val="es-CO"/>
              </w:rPr>
              <w:t xml:space="preserve">presado en UVT menos </w:t>
            </w:r>
            <w:r w:rsidRPr="00F53530">
              <w:rPr>
                <w:i/>
                <w:color w:val="231F20"/>
                <w:spacing w:val="-6"/>
                <w:lang w:val="es-CO"/>
              </w:rPr>
              <w:t xml:space="preserve">360 </w:t>
            </w:r>
            <w:r w:rsidRPr="00F53530">
              <w:rPr>
                <w:i/>
                <w:color w:val="231F20"/>
                <w:lang w:val="es-CO"/>
              </w:rPr>
              <w:t>UVT)*33%+69 UVT</w:t>
            </w:r>
          </w:p>
        </w:tc>
      </w:tr>
      <w:tr w:rsidR="00FB4389" w:rsidRPr="00F53530" w14:paraId="045A390A" w14:textId="77777777" w:rsidTr="00A43B82">
        <w:trPr>
          <w:trHeight w:val="727"/>
          <w:jc w:val="center"/>
        </w:trPr>
        <w:tc>
          <w:tcPr>
            <w:tcW w:w="939" w:type="dxa"/>
            <w:shd w:val="clear" w:color="auto" w:fill="auto"/>
            <w:vAlign w:val="center"/>
          </w:tcPr>
          <w:p w14:paraId="045A3906" w14:textId="77777777" w:rsidR="00FB4389" w:rsidRPr="00F53530" w:rsidRDefault="00FB4389" w:rsidP="00C44821">
            <w:pPr>
              <w:pStyle w:val="TableParagraph"/>
              <w:jc w:val="center"/>
              <w:rPr>
                <w:i/>
                <w:lang w:val="es-CO"/>
              </w:rPr>
            </w:pPr>
            <w:r w:rsidRPr="00F53530">
              <w:rPr>
                <w:i/>
                <w:color w:val="231F20"/>
                <w:lang w:val="es-CO"/>
              </w:rPr>
              <w:t>&gt;640</w:t>
            </w:r>
          </w:p>
        </w:tc>
        <w:tc>
          <w:tcPr>
            <w:tcW w:w="1276" w:type="dxa"/>
            <w:shd w:val="clear" w:color="auto" w:fill="auto"/>
            <w:vAlign w:val="center"/>
          </w:tcPr>
          <w:p w14:paraId="045A3907" w14:textId="77777777" w:rsidR="00FB4389" w:rsidRPr="00F53530" w:rsidRDefault="00FB4389" w:rsidP="00C44821">
            <w:pPr>
              <w:pStyle w:val="TableParagraph"/>
              <w:jc w:val="center"/>
              <w:rPr>
                <w:i/>
                <w:lang w:val="es-CO"/>
              </w:rPr>
            </w:pPr>
            <w:r w:rsidRPr="00F53530">
              <w:rPr>
                <w:i/>
                <w:color w:val="231F20"/>
                <w:lang w:val="es-CO"/>
              </w:rPr>
              <w:t>945</w:t>
            </w:r>
          </w:p>
        </w:tc>
        <w:tc>
          <w:tcPr>
            <w:tcW w:w="1134" w:type="dxa"/>
            <w:shd w:val="clear" w:color="auto" w:fill="auto"/>
            <w:vAlign w:val="center"/>
          </w:tcPr>
          <w:p w14:paraId="045A3908" w14:textId="77777777" w:rsidR="00FB4389" w:rsidRPr="00F53530" w:rsidRDefault="00FB4389" w:rsidP="00C44821">
            <w:pPr>
              <w:pStyle w:val="TableParagraph"/>
              <w:jc w:val="center"/>
              <w:rPr>
                <w:i/>
                <w:lang w:val="es-CO"/>
              </w:rPr>
            </w:pPr>
            <w:r w:rsidRPr="00F53530">
              <w:rPr>
                <w:i/>
                <w:color w:val="231F20"/>
                <w:lang w:val="es-CO"/>
              </w:rPr>
              <w:t>35,0%</w:t>
            </w:r>
          </w:p>
        </w:tc>
        <w:tc>
          <w:tcPr>
            <w:tcW w:w="3544" w:type="dxa"/>
            <w:shd w:val="clear" w:color="auto" w:fill="auto"/>
            <w:vAlign w:val="center"/>
          </w:tcPr>
          <w:p w14:paraId="045A3909" w14:textId="77777777" w:rsidR="00FB4389" w:rsidRPr="00F53530" w:rsidRDefault="00FB4389" w:rsidP="00C44821">
            <w:pPr>
              <w:pStyle w:val="TableParagraph"/>
              <w:ind w:left="55" w:right="50"/>
              <w:jc w:val="center"/>
              <w:rPr>
                <w:i/>
                <w:lang w:val="es-CO"/>
              </w:rPr>
            </w:pPr>
            <w:r w:rsidRPr="00F53530">
              <w:rPr>
                <w:i/>
                <w:color w:val="231F20"/>
                <w:lang w:val="es-CO"/>
              </w:rPr>
              <w:t xml:space="preserve">(Ingreso laboral gravado </w:t>
            </w:r>
            <w:r w:rsidRPr="00F53530">
              <w:rPr>
                <w:i/>
                <w:color w:val="231F20"/>
                <w:spacing w:val="-6"/>
                <w:lang w:val="es-CO"/>
              </w:rPr>
              <w:t>ex</w:t>
            </w:r>
            <w:r w:rsidRPr="00F53530">
              <w:rPr>
                <w:i/>
                <w:color w:val="231F20"/>
                <w:lang w:val="es-CO"/>
              </w:rPr>
              <w:t xml:space="preserve">presado en UVT menos </w:t>
            </w:r>
            <w:r w:rsidRPr="00F53530">
              <w:rPr>
                <w:i/>
                <w:color w:val="231F20"/>
                <w:spacing w:val="-6"/>
                <w:lang w:val="es-CO"/>
              </w:rPr>
              <w:t xml:space="preserve">640 </w:t>
            </w:r>
            <w:r w:rsidRPr="00F53530">
              <w:rPr>
                <w:i/>
                <w:color w:val="231F20"/>
                <w:lang w:val="es-CO"/>
              </w:rPr>
              <w:t>UVT)*35%+162 UVT</w:t>
            </w:r>
          </w:p>
        </w:tc>
      </w:tr>
      <w:tr w:rsidR="00FB4389" w:rsidRPr="00F53530" w14:paraId="045A390F" w14:textId="77777777" w:rsidTr="00A43B82">
        <w:trPr>
          <w:trHeight w:val="727"/>
          <w:jc w:val="center"/>
        </w:trPr>
        <w:tc>
          <w:tcPr>
            <w:tcW w:w="939" w:type="dxa"/>
            <w:shd w:val="clear" w:color="auto" w:fill="auto"/>
            <w:vAlign w:val="center"/>
          </w:tcPr>
          <w:p w14:paraId="045A390B" w14:textId="77777777" w:rsidR="00FB4389" w:rsidRPr="00F53530" w:rsidRDefault="00FB4389" w:rsidP="00C44821">
            <w:pPr>
              <w:pStyle w:val="TableParagraph"/>
              <w:jc w:val="center"/>
              <w:rPr>
                <w:i/>
                <w:lang w:val="es-CO"/>
              </w:rPr>
            </w:pPr>
            <w:r w:rsidRPr="00F53530">
              <w:rPr>
                <w:i/>
                <w:color w:val="231F20"/>
                <w:lang w:val="es-CO"/>
              </w:rPr>
              <w:t>&gt;945</w:t>
            </w:r>
          </w:p>
        </w:tc>
        <w:tc>
          <w:tcPr>
            <w:tcW w:w="1276" w:type="dxa"/>
            <w:shd w:val="clear" w:color="auto" w:fill="auto"/>
            <w:vAlign w:val="center"/>
          </w:tcPr>
          <w:p w14:paraId="045A390C" w14:textId="77777777" w:rsidR="00FB4389" w:rsidRPr="00F53530" w:rsidRDefault="00FB4389" w:rsidP="00C44821">
            <w:pPr>
              <w:pStyle w:val="TableParagraph"/>
              <w:jc w:val="center"/>
              <w:rPr>
                <w:i/>
                <w:lang w:val="es-CO"/>
              </w:rPr>
            </w:pPr>
            <w:r w:rsidRPr="00F53530">
              <w:rPr>
                <w:i/>
                <w:color w:val="231F20"/>
                <w:lang w:val="es-CO"/>
              </w:rPr>
              <w:t>2300</w:t>
            </w:r>
          </w:p>
        </w:tc>
        <w:tc>
          <w:tcPr>
            <w:tcW w:w="1134" w:type="dxa"/>
            <w:shd w:val="clear" w:color="auto" w:fill="auto"/>
            <w:vAlign w:val="center"/>
          </w:tcPr>
          <w:p w14:paraId="045A390D" w14:textId="77777777" w:rsidR="00FB4389" w:rsidRPr="00F53530" w:rsidRDefault="00FB4389" w:rsidP="00C44821">
            <w:pPr>
              <w:pStyle w:val="TableParagraph"/>
              <w:jc w:val="center"/>
              <w:rPr>
                <w:i/>
                <w:lang w:val="es-CO"/>
              </w:rPr>
            </w:pPr>
            <w:r w:rsidRPr="00F53530">
              <w:rPr>
                <w:i/>
                <w:color w:val="231F20"/>
                <w:lang w:val="es-CO"/>
              </w:rPr>
              <w:t>37,0%</w:t>
            </w:r>
          </w:p>
        </w:tc>
        <w:tc>
          <w:tcPr>
            <w:tcW w:w="3544" w:type="dxa"/>
            <w:shd w:val="clear" w:color="auto" w:fill="auto"/>
            <w:vAlign w:val="center"/>
          </w:tcPr>
          <w:p w14:paraId="045A390E" w14:textId="77777777" w:rsidR="00FB4389" w:rsidRPr="00F53530" w:rsidRDefault="00FB4389" w:rsidP="00C44821">
            <w:pPr>
              <w:pStyle w:val="TableParagraph"/>
              <w:ind w:left="55" w:right="50"/>
              <w:jc w:val="center"/>
              <w:rPr>
                <w:i/>
                <w:lang w:val="es-CO"/>
              </w:rPr>
            </w:pPr>
            <w:r w:rsidRPr="00F53530">
              <w:rPr>
                <w:i/>
                <w:color w:val="231F20"/>
                <w:lang w:val="es-CO"/>
              </w:rPr>
              <w:t xml:space="preserve">(Ingreso laboral gravado </w:t>
            </w:r>
            <w:r w:rsidRPr="00F53530">
              <w:rPr>
                <w:i/>
                <w:color w:val="231F20"/>
                <w:spacing w:val="-6"/>
                <w:lang w:val="es-CO"/>
              </w:rPr>
              <w:t>ex</w:t>
            </w:r>
            <w:r w:rsidRPr="00F53530">
              <w:rPr>
                <w:i/>
                <w:color w:val="231F20"/>
                <w:lang w:val="es-CO"/>
              </w:rPr>
              <w:t xml:space="preserve">presado en UVT menos </w:t>
            </w:r>
            <w:r w:rsidRPr="00F53530">
              <w:rPr>
                <w:i/>
                <w:color w:val="231F20"/>
                <w:spacing w:val="-6"/>
                <w:lang w:val="es-CO"/>
              </w:rPr>
              <w:t xml:space="preserve">945 </w:t>
            </w:r>
            <w:r w:rsidRPr="00F53530">
              <w:rPr>
                <w:i/>
                <w:color w:val="231F20"/>
                <w:lang w:val="es-CO"/>
              </w:rPr>
              <w:t>UVT)*37%+268 UVT</w:t>
            </w:r>
          </w:p>
        </w:tc>
      </w:tr>
      <w:tr w:rsidR="00FB4389" w:rsidRPr="00F53530" w14:paraId="045A3914" w14:textId="77777777" w:rsidTr="00A43B82">
        <w:trPr>
          <w:trHeight w:val="727"/>
          <w:jc w:val="center"/>
        </w:trPr>
        <w:tc>
          <w:tcPr>
            <w:tcW w:w="939" w:type="dxa"/>
            <w:shd w:val="clear" w:color="auto" w:fill="auto"/>
            <w:vAlign w:val="center"/>
          </w:tcPr>
          <w:p w14:paraId="045A3910" w14:textId="77777777" w:rsidR="00FB4389" w:rsidRPr="00F53530" w:rsidRDefault="00FB4389" w:rsidP="00C44821">
            <w:pPr>
              <w:pStyle w:val="TableParagraph"/>
              <w:spacing w:before="240" w:after="240"/>
              <w:jc w:val="center"/>
              <w:rPr>
                <w:i/>
                <w:lang w:val="es-CO"/>
              </w:rPr>
            </w:pPr>
            <w:r w:rsidRPr="00F53530">
              <w:rPr>
                <w:i/>
                <w:color w:val="231F20"/>
                <w:lang w:val="es-CO"/>
              </w:rPr>
              <w:t>&gt;2300</w:t>
            </w:r>
          </w:p>
        </w:tc>
        <w:tc>
          <w:tcPr>
            <w:tcW w:w="1276" w:type="dxa"/>
            <w:shd w:val="clear" w:color="auto" w:fill="auto"/>
            <w:vAlign w:val="center"/>
          </w:tcPr>
          <w:p w14:paraId="045A3911" w14:textId="77777777" w:rsidR="00FB4389" w:rsidRPr="00F53530" w:rsidRDefault="00FB4389" w:rsidP="00C44821">
            <w:pPr>
              <w:pStyle w:val="TableParagraph"/>
              <w:tabs>
                <w:tab w:val="left" w:pos="443"/>
              </w:tabs>
              <w:spacing w:before="240" w:after="240"/>
              <w:jc w:val="center"/>
              <w:rPr>
                <w:i/>
                <w:lang w:val="es-CO"/>
              </w:rPr>
            </w:pPr>
            <w:r w:rsidRPr="00F53530">
              <w:rPr>
                <w:i/>
                <w:color w:val="231F20"/>
                <w:lang w:val="es-CO"/>
              </w:rPr>
              <w:t>En</w:t>
            </w:r>
            <w:r w:rsidRPr="00F53530">
              <w:rPr>
                <w:i/>
                <w:lang w:val="es-CO"/>
              </w:rPr>
              <w:t xml:space="preserve"> </w:t>
            </w:r>
            <w:r w:rsidRPr="00F53530">
              <w:rPr>
                <w:i/>
                <w:color w:val="231F20"/>
                <w:lang w:val="es-CO"/>
              </w:rPr>
              <w:t>adelante</w:t>
            </w:r>
          </w:p>
        </w:tc>
        <w:tc>
          <w:tcPr>
            <w:tcW w:w="1134" w:type="dxa"/>
            <w:shd w:val="clear" w:color="auto" w:fill="auto"/>
            <w:vAlign w:val="center"/>
          </w:tcPr>
          <w:p w14:paraId="045A3912" w14:textId="77777777" w:rsidR="00FB4389" w:rsidRPr="00F53530" w:rsidRDefault="00FB4389" w:rsidP="00C44821">
            <w:pPr>
              <w:pStyle w:val="TableParagraph"/>
              <w:jc w:val="center"/>
              <w:rPr>
                <w:i/>
                <w:lang w:val="es-CO"/>
              </w:rPr>
            </w:pPr>
            <w:r w:rsidRPr="00F53530">
              <w:rPr>
                <w:i/>
                <w:color w:val="231F20"/>
                <w:lang w:val="es-CO"/>
              </w:rPr>
              <w:t>39,0%</w:t>
            </w:r>
          </w:p>
        </w:tc>
        <w:tc>
          <w:tcPr>
            <w:tcW w:w="3544" w:type="dxa"/>
            <w:shd w:val="clear" w:color="auto" w:fill="auto"/>
            <w:vAlign w:val="center"/>
          </w:tcPr>
          <w:p w14:paraId="045A3913" w14:textId="77777777" w:rsidR="00FB4389" w:rsidRPr="00F53530" w:rsidRDefault="00FB4389" w:rsidP="00C44821">
            <w:pPr>
              <w:pStyle w:val="TableParagraph"/>
              <w:ind w:left="55" w:right="47"/>
              <w:jc w:val="center"/>
              <w:rPr>
                <w:i/>
                <w:lang w:val="es-CO"/>
              </w:rPr>
            </w:pPr>
            <w:r w:rsidRPr="00F53530">
              <w:rPr>
                <w:i/>
                <w:color w:val="231F20"/>
                <w:lang w:val="es-CO"/>
              </w:rPr>
              <w:t xml:space="preserve">(Ingreso laboral gravado expresado en UVT </w:t>
            </w:r>
            <w:r w:rsidRPr="00F53530">
              <w:rPr>
                <w:i/>
                <w:color w:val="231F20"/>
                <w:spacing w:val="-3"/>
                <w:lang w:val="es-CO"/>
              </w:rPr>
              <w:t xml:space="preserve">menos </w:t>
            </w:r>
            <w:r w:rsidRPr="00F53530">
              <w:rPr>
                <w:i/>
                <w:color w:val="231F20"/>
                <w:lang w:val="es-CO"/>
              </w:rPr>
              <w:t xml:space="preserve">2300 UVT)*39%+770 </w:t>
            </w:r>
            <w:r w:rsidRPr="00F53530">
              <w:rPr>
                <w:i/>
                <w:color w:val="231F20"/>
                <w:spacing w:val="-6"/>
                <w:lang w:val="es-CO"/>
              </w:rPr>
              <w:t>UVT</w:t>
            </w:r>
          </w:p>
        </w:tc>
      </w:tr>
    </w:tbl>
    <w:p w14:paraId="045A3915" w14:textId="77777777" w:rsidR="00A97ADB" w:rsidRDefault="00A97ADB" w:rsidP="00C44821">
      <w:pPr>
        <w:spacing w:before="240" w:after="0" w:line="240" w:lineRule="auto"/>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16" w14:textId="77777777" w:rsidR="00F53530" w:rsidRDefault="00FB4389" w:rsidP="00C44821">
      <w:pPr>
        <w:pStyle w:val="Ttulo1"/>
      </w:pPr>
      <w:r w:rsidRPr="00F53530">
        <w:t>TÍTULO III</w:t>
      </w:r>
      <w:r w:rsidR="00AD7AC8">
        <w:br/>
      </w:r>
      <w:r w:rsidR="00040448" w:rsidRPr="00F53530">
        <w:t>IMPUESTOS AL PATRIMO</w:t>
      </w:r>
      <w:r w:rsidRPr="00F53530">
        <w:t>NIO, DIVIDENDOS Y NORMALIZACIÓN</w:t>
      </w:r>
    </w:p>
    <w:p w14:paraId="045A3917" w14:textId="77777777" w:rsidR="00F53530" w:rsidRDefault="00FB4389" w:rsidP="00C44821">
      <w:pPr>
        <w:pStyle w:val="Ttulo2"/>
      </w:pPr>
      <w:r w:rsidRPr="00F53530">
        <w:t>CAPÍTULO I</w:t>
      </w:r>
      <w:r w:rsidR="00AD7AC8">
        <w:br/>
      </w:r>
      <w:r w:rsidRPr="00F53530">
        <w:t>IMPUESTO AL PATRIMONIO</w:t>
      </w:r>
    </w:p>
    <w:p w14:paraId="045A3918" w14:textId="77777777" w:rsidR="00040448" w:rsidRPr="00F53530" w:rsidRDefault="00040448" w:rsidP="00C44821">
      <w:pPr>
        <w:spacing w:before="240" w:after="240" w:line="240" w:lineRule="auto"/>
        <w:jc w:val="both"/>
        <w:rPr>
          <w:rFonts w:ascii="Times New Roman" w:hAnsi="Times New Roman"/>
        </w:rPr>
      </w:pPr>
      <w:r w:rsidRPr="00031B4D">
        <w:rPr>
          <w:rFonts w:ascii="Times New Roman" w:hAnsi="Times New Roman"/>
          <w:b/>
          <w:bCs/>
        </w:rPr>
        <w:t>ARTÍCULO 43.</w:t>
      </w:r>
      <w:r w:rsidR="00AD7AC8">
        <w:rPr>
          <w:rFonts w:ascii="Times New Roman" w:hAnsi="Times New Roman"/>
        </w:rPr>
        <w:t xml:space="preserve"> </w:t>
      </w:r>
      <w:r w:rsidRPr="00F53530">
        <w:rPr>
          <w:rFonts w:ascii="Times New Roman" w:hAnsi="Times New Roman"/>
        </w:rPr>
        <w:t xml:space="preserve">Modifíquese el artículo 292-2 del </w:t>
      </w:r>
      <w:r w:rsidR="005E358C">
        <w:rPr>
          <w:rFonts w:ascii="Times New Roman" w:hAnsi="Times New Roman"/>
        </w:rPr>
        <w:t>*</w:t>
      </w:r>
      <w:r w:rsidRPr="00F53530">
        <w:rPr>
          <w:rFonts w:ascii="Times New Roman" w:hAnsi="Times New Roman"/>
        </w:rPr>
        <w:t>Estatuto Tributario, el cual quedará así:</w:t>
      </w:r>
    </w:p>
    <w:p w14:paraId="045A3919" w14:textId="77777777" w:rsidR="00040448" w:rsidRPr="00F53530" w:rsidRDefault="00040448" w:rsidP="00C44821">
      <w:pPr>
        <w:spacing w:before="240" w:after="240" w:line="240" w:lineRule="auto"/>
        <w:jc w:val="both"/>
        <w:rPr>
          <w:rFonts w:ascii="Times New Roman" w:hAnsi="Times New Roman"/>
          <w:i/>
        </w:rPr>
      </w:pPr>
      <w:r w:rsidRPr="00AC3781">
        <w:rPr>
          <w:rFonts w:ascii="Times New Roman" w:hAnsi="Times New Roman"/>
          <w:b/>
          <w:bCs/>
          <w:i/>
        </w:rPr>
        <w:t>Artículo 292-2</w:t>
      </w:r>
      <w:r w:rsidR="00280B8A" w:rsidRPr="00AC3781">
        <w:rPr>
          <w:rFonts w:ascii="Times New Roman" w:hAnsi="Times New Roman"/>
          <w:b/>
          <w:bCs/>
          <w:i/>
        </w:rPr>
        <w:t>.</w:t>
      </w:r>
      <w:r w:rsidRPr="00AC3781">
        <w:rPr>
          <w:rFonts w:ascii="Times New Roman" w:hAnsi="Times New Roman"/>
          <w:b/>
          <w:bCs/>
          <w:i/>
        </w:rPr>
        <w:t xml:space="preserve"> Impuesto al patrimonio - Sujetos pasivos</w:t>
      </w:r>
      <w:r w:rsidRPr="00F53530">
        <w:rPr>
          <w:rFonts w:ascii="Times New Roman" w:hAnsi="Times New Roman"/>
          <w:i/>
        </w:rPr>
        <w:t>. Por los años 2020 y 2021, créase un impuesto extraordinario denominado el impuesto al patrimonio a cargo de:</w:t>
      </w:r>
    </w:p>
    <w:p w14:paraId="045A391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Las personas naturales y las sucesiones ilíquidas, contribuyentes del impuesto sobre la renta y complementarios o de regímenes sustitutivos del impuesto sobre la renta.</w:t>
      </w:r>
    </w:p>
    <w:p w14:paraId="045A391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2. Las personas naturales, nacionales o extranjeras, que no tengan residencia en el país, respecto de su patrimonio poseído directamente en el país, salvo las excepciones previstas en los tratados internacionales y en el derecho interno.</w:t>
      </w:r>
    </w:p>
    <w:p w14:paraId="045A391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Las personas naturales, nacionales o extranjeras, que no tengan residencia en el país, respecto de su patrimonio poseído indirectamente a través de establecimientos permanentes, en el país, salvo las excepciones previstas en los tratados internacionales y en el derecho interno.</w:t>
      </w:r>
    </w:p>
    <w:p w14:paraId="045A391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4. Las sucesiones ilíquidas de causantes sin residencia en el país al momento de su muerte respecto de su patrimonio poseído en el país.</w:t>
      </w:r>
    </w:p>
    <w:p w14:paraId="045A391E" w14:textId="74859BC6"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5. Las sociedades o entidades extranjeras que no sean declarantes del impuesto sobre la renta en el país, y que posean bienes ubicados en Colombia diferentes a acciones, cuentas por cobrar y/o inversiones de portafolio de conformidad con el artículo 2.17.2.2.1.2 del </w:t>
      </w:r>
      <w:hyperlink r:id="rId31" w:history="1">
        <w:r w:rsidRPr="0052684C">
          <w:rPr>
            <w:rStyle w:val="Hipervnculo"/>
            <w:rFonts w:ascii="Times New Roman" w:hAnsi="Times New Roman"/>
            <w:i/>
          </w:rPr>
          <w:t>Decreto 1068 de 2015</w:t>
        </w:r>
      </w:hyperlink>
      <w:r w:rsidRPr="00F53530">
        <w:rPr>
          <w:rFonts w:ascii="Times New Roman" w:hAnsi="Times New Roman"/>
          <w:i/>
        </w:rPr>
        <w:t xml:space="preserve"> y el 18-1 de este Estatuto, 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w:t>
      </w:r>
    </w:p>
    <w:p w14:paraId="045A391F" w14:textId="77777777" w:rsidR="00040448" w:rsidRPr="00F53530" w:rsidRDefault="00280B8A" w:rsidP="00C44821">
      <w:pPr>
        <w:spacing w:before="240" w:after="240" w:line="240" w:lineRule="auto"/>
        <w:jc w:val="both"/>
        <w:rPr>
          <w:rFonts w:ascii="Times New Roman" w:hAnsi="Times New Roman"/>
          <w:i/>
        </w:rPr>
      </w:pPr>
      <w:r w:rsidRPr="00AC3781">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14:paraId="045A3920" w14:textId="77777777" w:rsidR="00040448" w:rsidRDefault="00280B8A" w:rsidP="00C44821">
      <w:pPr>
        <w:spacing w:before="240" w:after="240" w:line="240" w:lineRule="auto"/>
        <w:jc w:val="both"/>
        <w:rPr>
          <w:rFonts w:ascii="Times New Roman" w:hAnsi="Times New Roman"/>
          <w:i/>
        </w:rPr>
      </w:pPr>
      <w:r w:rsidRPr="00AC3781">
        <w:rPr>
          <w:rFonts w:ascii="Times New Roman" w:hAnsi="Times New Roman"/>
          <w:b/>
          <w:bCs/>
          <w:i/>
        </w:rPr>
        <w:t>PARÁGRAFO 2</w:t>
      </w:r>
      <w:r w:rsidRPr="00F53530">
        <w:rPr>
          <w:rFonts w:ascii="Times New Roman" w:hAnsi="Times New Roman"/>
          <w:i/>
        </w:rPr>
        <w:t>.</w:t>
      </w:r>
      <w:r w:rsidR="00A03C6F" w:rsidRPr="00F53530">
        <w:rPr>
          <w:rFonts w:ascii="Times New Roman" w:hAnsi="Times New Roman"/>
          <w:i/>
        </w:rPr>
        <w:t xml:space="preserve"> </w:t>
      </w:r>
      <w:r w:rsidR="00040448" w:rsidRPr="00F53530">
        <w:rPr>
          <w:rFonts w:ascii="Times New Roman" w:hAnsi="Times New Roman"/>
          <w:i/>
        </w:rPr>
        <w:t>Para el caso de los contribuyentes del impuesto al patrimonio señalados en el numeral 3 del presente artículo, el deber formal de declarar estará en cabeza de la sucursal o del establecimiento permanente, según sea el caso.</w:t>
      </w:r>
    </w:p>
    <w:p w14:paraId="045A3921" w14:textId="77777777" w:rsidR="005E358C" w:rsidRPr="00F53530" w:rsidRDefault="005E358C"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22" w14:textId="77777777" w:rsidR="00040448" w:rsidRPr="00F53530" w:rsidRDefault="00040448" w:rsidP="00C44821">
      <w:pPr>
        <w:spacing w:before="240" w:after="240" w:line="240" w:lineRule="auto"/>
        <w:jc w:val="both"/>
        <w:rPr>
          <w:rFonts w:ascii="Times New Roman" w:hAnsi="Times New Roman"/>
        </w:rPr>
      </w:pPr>
      <w:r w:rsidRPr="00BD6F01">
        <w:rPr>
          <w:rFonts w:ascii="Times New Roman" w:hAnsi="Times New Roman"/>
          <w:b/>
          <w:bCs/>
        </w:rPr>
        <w:t>ARTÍCULO 44.</w:t>
      </w:r>
      <w:r w:rsidR="00BD6F01">
        <w:rPr>
          <w:rFonts w:ascii="Times New Roman" w:hAnsi="Times New Roman"/>
          <w:b/>
          <w:bCs/>
        </w:rPr>
        <w:t xml:space="preserve"> </w:t>
      </w:r>
      <w:r w:rsidRPr="00F53530">
        <w:rPr>
          <w:rFonts w:ascii="Times New Roman" w:hAnsi="Times New Roman"/>
        </w:rPr>
        <w:t xml:space="preserve">Modifíquese el artículo 294-2 del </w:t>
      </w:r>
      <w:r w:rsidR="005E358C">
        <w:rPr>
          <w:rFonts w:ascii="Times New Roman" w:hAnsi="Times New Roman"/>
        </w:rPr>
        <w:t>*</w:t>
      </w:r>
      <w:r w:rsidRPr="00F53530">
        <w:rPr>
          <w:rFonts w:ascii="Times New Roman" w:hAnsi="Times New Roman"/>
        </w:rPr>
        <w:t>Estatuto Tributario, el cual quedará así:</w:t>
      </w:r>
    </w:p>
    <w:p w14:paraId="045A3923" w14:textId="77777777" w:rsidR="00040448" w:rsidRDefault="00040448" w:rsidP="00C44821">
      <w:pPr>
        <w:spacing w:before="240" w:after="240" w:line="240" w:lineRule="auto"/>
        <w:jc w:val="both"/>
        <w:rPr>
          <w:rFonts w:ascii="Times New Roman" w:hAnsi="Times New Roman"/>
          <w:i/>
        </w:rPr>
      </w:pPr>
      <w:r w:rsidRPr="00AC3781">
        <w:rPr>
          <w:rFonts w:ascii="Times New Roman" w:hAnsi="Times New Roman"/>
          <w:b/>
          <w:bCs/>
          <w:i/>
        </w:rPr>
        <w:t>Artículo 294-2</w:t>
      </w:r>
      <w:r w:rsidR="00280B8A" w:rsidRPr="00AC3781">
        <w:rPr>
          <w:rFonts w:ascii="Times New Roman" w:hAnsi="Times New Roman"/>
          <w:b/>
          <w:bCs/>
          <w:i/>
        </w:rPr>
        <w:t>.</w:t>
      </w:r>
      <w:r w:rsidRPr="00AC3781">
        <w:rPr>
          <w:rFonts w:ascii="Times New Roman" w:hAnsi="Times New Roman"/>
          <w:b/>
          <w:bCs/>
          <w:i/>
        </w:rPr>
        <w:t xml:space="preserve"> Hecho generador</w:t>
      </w:r>
      <w:r w:rsidRPr="00F53530">
        <w:rPr>
          <w:rFonts w:ascii="Times New Roman" w:hAnsi="Times New Roman"/>
          <w:i/>
        </w:rPr>
        <w:t>. El impuesto al patrimonio se genera por la posesión del mismo al 1 de enero del año 2020, cuyo valor sea igual o superior a cinco mil ($5.000) millones de pesos. Para efectos de este gravamen, el concepto de patrimonio es equivalente al patrimonio líquido, calculado tomando el total del patrimonio bruto del contribuyente persona natural poseído en la misma fecha menos las deudas a cargo del contribuyente vigentes en esa fecha.</w:t>
      </w:r>
    </w:p>
    <w:p w14:paraId="045A3924" w14:textId="77777777" w:rsidR="005E358C" w:rsidRPr="00F53530" w:rsidRDefault="005E358C"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25" w14:textId="77777777" w:rsidR="00040448" w:rsidRPr="00F53530" w:rsidRDefault="00040448" w:rsidP="00C44821">
      <w:pPr>
        <w:spacing w:before="240" w:after="240" w:line="240" w:lineRule="auto"/>
        <w:jc w:val="both"/>
        <w:rPr>
          <w:rFonts w:ascii="Times New Roman" w:hAnsi="Times New Roman"/>
        </w:rPr>
      </w:pPr>
      <w:r w:rsidRPr="00BD6F01">
        <w:rPr>
          <w:rFonts w:ascii="Times New Roman" w:hAnsi="Times New Roman"/>
          <w:b/>
          <w:bCs/>
        </w:rPr>
        <w:t>ARTÍCULO 45.</w:t>
      </w:r>
      <w:r w:rsidR="00BD6F01">
        <w:rPr>
          <w:rFonts w:ascii="Times New Roman" w:hAnsi="Times New Roman"/>
          <w:b/>
          <w:bCs/>
        </w:rPr>
        <w:t xml:space="preserve"> </w:t>
      </w:r>
      <w:r w:rsidRPr="00F53530">
        <w:rPr>
          <w:rFonts w:ascii="Times New Roman" w:hAnsi="Times New Roman"/>
        </w:rPr>
        <w:t xml:space="preserve">Modifíquese el artículo 295-2 del </w:t>
      </w:r>
      <w:r w:rsidR="005E358C">
        <w:rPr>
          <w:rFonts w:ascii="Times New Roman" w:hAnsi="Times New Roman"/>
        </w:rPr>
        <w:t>*</w:t>
      </w:r>
      <w:r w:rsidRPr="00F53530">
        <w:rPr>
          <w:rFonts w:ascii="Times New Roman" w:hAnsi="Times New Roman"/>
        </w:rPr>
        <w:t>Estatuto Tributario, el cual quedará así:</w:t>
      </w:r>
    </w:p>
    <w:p w14:paraId="045A3926" w14:textId="77777777" w:rsidR="00040448" w:rsidRPr="00F53530" w:rsidRDefault="00040448" w:rsidP="00C44821">
      <w:pPr>
        <w:spacing w:before="240" w:after="240" w:line="240" w:lineRule="auto"/>
        <w:jc w:val="both"/>
        <w:rPr>
          <w:rFonts w:ascii="Times New Roman" w:hAnsi="Times New Roman"/>
          <w:i/>
        </w:rPr>
      </w:pPr>
      <w:r w:rsidRPr="00AC3781">
        <w:rPr>
          <w:rFonts w:ascii="Times New Roman" w:hAnsi="Times New Roman"/>
          <w:b/>
          <w:bCs/>
          <w:i/>
        </w:rPr>
        <w:t>Artículo 295-2</w:t>
      </w:r>
      <w:r w:rsidR="00280B8A" w:rsidRPr="00AC3781">
        <w:rPr>
          <w:rFonts w:ascii="Times New Roman" w:hAnsi="Times New Roman"/>
          <w:b/>
          <w:bCs/>
          <w:i/>
        </w:rPr>
        <w:t>.</w:t>
      </w:r>
      <w:r w:rsidRPr="00AC3781">
        <w:rPr>
          <w:rFonts w:ascii="Times New Roman" w:hAnsi="Times New Roman"/>
          <w:b/>
          <w:bCs/>
          <w:i/>
        </w:rPr>
        <w:t xml:space="preserve"> Base gravable.</w:t>
      </w:r>
      <w:r w:rsidRPr="00F53530">
        <w:rPr>
          <w:rFonts w:ascii="Times New Roman" w:hAnsi="Times New Roman"/>
          <w:i/>
        </w:rPr>
        <w:t xml:space="preserve"> La base gravable del impuesto al patrimonio es el valor del patrimonio bruto de las personas naturales, sucesiones ilíquidas y sociedades o entidades extranjeras poseído a 1 de enero de 2020 y 2021 menos las deudas a cargo de los mismos vigentes en esas mismas fechas, determinado conforme a lo previsto en el Título II del Libro I de este Estatuto, excluyendo el </w:t>
      </w:r>
      <w:r w:rsidRPr="00F53530">
        <w:rPr>
          <w:rFonts w:ascii="Times New Roman" w:hAnsi="Times New Roman"/>
          <w:i/>
        </w:rPr>
        <w:lastRenderedPageBreak/>
        <w:t>valor patrimonial que tengan al 1 de enero de 2020 y 2021 para las personas naturales, las sucesiones ilíquidas y sociedades o entidades extranjeras, los siguientes bienes:</w:t>
      </w:r>
    </w:p>
    <w:p w14:paraId="045A392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En el caso de las personas naturales, las primeras 13.500 UVT del valor patrimonial de su casa o apartamento de habitación.</w:t>
      </w:r>
    </w:p>
    <w:p w14:paraId="045A392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Esta exclusión aplica únicamente respecto a la casa o apartamento en donde efectivamente viva la persona natural la mayor parte del tiempo, por lo que no quedan cobijados por esta exclusión los inmuebles de recreo, segundas viviendas u otro inmueble que no cumpla con la condición de ser el lugar en donde habita la persona natural.</w:t>
      </w:r>
    </w:p>
    <w:p w14:paraId="045A3929" w14:textId="4130A938"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2. El cincuenta por ciento (50%) del valor patrimonial de los bienes objeto del impuesto complementario de normalización tributaria que hayan sido declarados en el periodo gravable 2019 y que hayan sido repatriados a Colombia e invertidos con vocación de permanencia en el país, de conformidad con la </w:t>
      </w:r>
      <w:hyperlink r:id="rId32" w:history="1">
        <w:r w:rsidRPr="00FB68BE">
          <w:rPr>
            <w:rStyle w:val="Hipervnculo"/>
            <w:rFonts w:ascii="Times New Roman" w:hAnsi="Times New Roman"/>
            <w:i/>
          </w:rPr>
          <w:t>Ley 1943 de 2018</w:t>
        </w:r>
      </w:hyperlink>
      <w:r w:rsidRPr="00F53530">
        <w:rPr>
          <w:rFonts w:ascii="Times New Roman" w:hAnsi="Times New Roman"/>
          <w:i/>
        </w:rPr>
        <w:t>.</w:t>
      </w:r>
    </w:p>
    <w:p w14:paraId="045A392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El cincuenta por ciento (50%) del valor patrimonial de los bienes objeto del impuesto complementario de normalización tributaria que hayan sido declarados en el periodo gravable 2020 y que hayan sido repatriados a Colombia e invertidos con vocación de permanencia en el país, de conformidad con el impuesto de normalización previsto en la presente ley.</w:t>
      </w:r>
    </w:p>
    <w:p w14:paraId="045A392B" w14:textId="77777777" w:rsidR="00040448" w:rsidRPr="00F53530" w:rsidRDefault="00280B8A" w:rsidP="00C44821">
      <w:pPr>
        <w:spacing w:before="240" w:after="240" w:line="240" w:lineRule="auto"/>
        <w:jc w:val="both"/>
        <w:rPr>
          <w:rFonts w:ascii="Times New Roman" w:hAnsi="Times New Roman"/>
          <w:i/>
        </w:rPr>
      </w:pPr>
      <w:r w:rsidRPr="00AC3781">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Los valores patrimoniales que se pueden excluir de la base gravable del impuesto al patrimonio se determinará de conformidad con lo previsto en el Título II del Libro I de este Estatuto. El valor patrimonial neto de los bienes que se excluyen de la base gravable, es el que se obtenga de multiplicar el valor patrimonial del bien por el porcentaje que resulte de dividir el patrimonio líquido por el patrimonio bruto a 1 de enero de 2020 y a 1 de enero de 2021.</w:t>
      </w:r>
    </w:p>
    <w:p w14:paraId="045A392C" w14:textId="77777777" w:rsidR="00040448" w:rsidRPr="00F53530" w:rsidRDefault="00280B8A" w:rsidP="00C44821">
      <w:pPr>
        <w:spacing w:before="240" w:after="240" w:line="240" w:lineRule="auto"/>
        <w:jc w:val="both"/>
        <w:rPr>
          <w:rFonts w:ascii="Times New Roman" w:hAnsi="Times New Roman"/>
          <w:i/>
        </w:rPr>
      </w:pPr>
      <w:r w:rsidRPr="00AC3781">
        <w:rPr>
          <w:rFonts w:ascii="Times New Roman" w:hAnsi="Times New Roman"/>
          <w:b/>
          <w:bCs/>
          <w:i/>
        </w:rPr>
        <w:t>PARÁGRAFO 2.</w:t>
      </w:r>
      <w:r w:rsidR="00A03C6F" w:rsidRPr="00F53530">
        <w:rPr>
          <w:rFonts w:ascii="Times New Roman" w:hAnsi="Times New Roman"/>
          <w:i/>
        </w:rPr>
        <w:t xml:space="preserve"> </w:t>
      </w:r>
      <w:r w:rsidR="00040448" w:rsidRPr="00F53530">
        <w:rPr>
          <w:rFonts w:ascii="Times New Roman" w:hAnsi="Times New Roman"/>
          <w:i/>
        </w:rPr>
        <w:t>En caso de que la base gravable del impuesto al patrimonio determinado en el año gravable 2021, sea superior a aquella determinada en el año 2020, la base gravable para el año 2021 será la menor entre la base gravable determinada en el año 2020 incrementada en el veinticinco por ciento (25%) de la inflación certificada por el Departamento Nacional de Estadística (DANE) para el año inmediatamente anterior al declarado y la base gravable determinada en el año en que se declara. Si la base gravable del impuesto al patrimonio determinada en el año 2021, es inferior a aquella determinada en el año 2020, la base gravable para el año 2021 será la mayor entre la base gravable determinada en el año 2020 disminuida en el veinticinco por ciento (25%) de la inflación certificada por el Departamento Nacional de Estadística (DANE) para el año inmediatamente anterior al declarado y la base gravable determinada en el año en que se declara.</w:t>
      </w:r>
    </w:p>
    <w:p w14:paraId="045A392D" w14:textId="77777777" w:rsidR="00040448" w:rsidRPr="00F53530" w:rsidRDefault="00280B8A" w:rsidP="00C44821">
      <w:pPr>
        <w:spacing w:before="240" w:after="240" w:line="240" w:lineRule="auto"/>
        <w:jc w:val="both"/>
        <w:rPr>
          <w:rFonts w:ascii="Times New Roman" w:hAnsi="Times New Roman"/>
          <w:i/>
        </w:rPr>
      </w:pPr>
      <w:r w:rsidRPr="00AC3781">
        <w:rPr>
          <w:rFonts w:ascii="Times New Roman" w:hAnsi="Times New Roman"/>
          <w:b/>
          <w:bCs/>
          <w:i/>
        </w:rPr>
        <w:t>PARÁGRAFO 3.</w:t>
      </w:r>
      <w:r w:rsidRPr="00F53530">
        <w:rPr>
          <w:rFonts w:ascii="Times New Roman" w:hAnsi="Times New Roman"/>
          <w:i/>
        </w:rPr>
        <w:t xml:space="preserve"> </w:t>
      </w:r>
      <w:r w:rsidR="00040448" w:rsidRPr="00F53530">
        <w:rPr>
          <w:rFonts w:ascii="Times New Roman" w:hAnsi="Times New Roman"/>
          <w:i/>
        </w:rPr>
        <w:t xml:space="preserve">En el caso de las personas naturales sin residencia en el país que tengan un establecimiento permanente en Colombia, la base gravable corresponderá al patrimonio atribuido al establecimiento permanente de conformidad con lo establecido en el artículo 20-2 del </w:t>
      </w:r>
      <w:r w:rsidR="005E358C">
        <w:rPr>
          <w:rFonts w:ascii="Times New Roman" w:hAnsi="Times New Roman"/>
          <w:i/>
        </w:rPr>
        <w:t>*</w:t>
      </w:r>
      <w:r w:rsidR="00040448" w:rsidRPr="00F53530">
        <w:rPr>
          <w:rFonts w:ascii="Times New Roman" w:hAnsi="Times New Roman"/>
          <w:i/>
        </w:rPr>
        <w:t>Estatuto Tributario.</w:t>
      </w:r>
    </w:p>
    <w:p w14:paraId="045A392E"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Para efectos de la determinación de los activos, pasivos, capital, ingresos, costos y gastos que se tienen en cuenta al establecer el patrimonio atribuible a un establecimiento permanente durante un año o periodo gravable, se deberá elaborar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w:t>
      </w:r>
    </w:p>
    <w:p w14:paraId="045A392F" w14:textId="77777777" w:rsidR="005E358C" w:rsidRPr="00F53530" w:rsidRDefault="005E358C" w:rsidP="00C44821">
      <w:pPr>
        <w:spacing w:before="240" w:after="240" w:line="240" w:lineRule="auto"/>
        <w:jc w:val="both"/>
        <w:rPr>
          <w:rFonts w:ascii="Times New Roman" w:hAnsi="Times New Roman"/>
          <w:i/>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30" w14:textId="77777777" w:rsidR="00040448" w:rsidRPr="00F53530" w:rsidRDefault="00040448" w:rsidP="00C44821">
      <w:pPr>
        <w:spacing w:before="240" w:after="240" w:line="240" w:lineRule="auto"/>
        <w:jc w:val="both"/>
        <w:rPr>
          <w:rFonts w:ascii="Times New Roman" w:hAnsi="Times New Roman"/>
        </w:rPr>
      </w:pPr>
      <w:r w:rsidRPr="00BD6F01">
        <w:rPr>
          <w:rFonts w:ascii="Times New Roman" w:hAnsi="Times New Roman"/>
          <w:b/>
          <w:bCs/>
        </w:rPr>
        <w:t>ARTÍCULO 46.</w:t>
      </w:r>
      <w:r w:rsidR="00BD6F01">
        <w:rPr>
          <w:rFonts w:ascii="Times New Roman" w:hAnsi="Times New Roman"/>
          <w:b/>
          <w:bCs/>
        </w:rPr>
        <w:t xml:space="preserve">  </w:t>
      </w:r>
      <w:r w:rsidRPr="00F53530">
        <w:rPr>
          <w:rFonts w:ascii="Times New Roman" w:hAnsi="Times New Roman"/>
        </w:rPr>
        <w:t xml:space="preserve">Modifíquese el artículo 296-2 del </w:t>
      </w:r>
      <w:r w:rsidR="005E358C">
        <w:rPr>
          <w:rFonts w:ascii="Times New Roman" w:hAnsi="Times New Roman"/>
        </w:rPr>
        <w:t>*</w:t>
      </w:r>
      <w:r w:rsidRPr="00F53530">
        <w:rPr>
          <w:rFonts w:ascii="Times New Roman" w:hAnsi="Times New Roman"/>
        </w:rPr>
        <w:t>Estatuto Tributario, el cual quedará así:</w:t>
      </w:r>
    </w:p>
    <w:p w14:paraId="045A3931" w14:textId="77777777" w:rsidR="00040448" w:rsidRPr="00F53530" w:rsidRDefault="00040448" w:rsidP="00C44821">
      <w:pPr>
        <w:spacing w:before="240" w:after="240" w:line="240" w:lineRule="auto"/>
        <w:jc w:val="both"/>
        <w:rPr>
          <w:rFonts w:ascii="Times New Roman" w:hAnsi="Times New Roman"/>
          <w:i/>
        </w:rPr>
      </w:pPr>
      <w:r w:rsidRPr="00AC3781">
        <w:rPr>
          <w:rFonts w:ascii="Times New Roman" w:hAnsi="Times New Roman"/>
          <w:b/>
          <w:bCs/>
          <w:i/>
        </w:rPr>
        <w:t>Artículo 296-2</w:t>
      </w:r>
      <w:r w:rsidR="00280B8A" w:rsidRPr="00AC3781">
        <w:rPr>
          <w:rFonts w:ascii="Times New Roman" w:hAnsi="Times New Roman"/>
          <w:b/>
          <w:bCs/>
          <w:i/>
        </w:rPr>
        <w:t>.</w:t>
      </w:r>
      <w:r w:rsidRPr="00AC3781">
        <w:rPr>
          <w:rFonts w:ascii="Times New Roman" w:hAnsi="Times New Roman"/>
          <w:b/>
          <w:bCs/>
          <w:i/>
        </w:rPr>
        <w:t xml:space="preserve"> Tarifa y destinación.</w:t>
      </w:r>
      <w:r w:rsidRPr="00F53530">
        <w:rPr>
          <w:rFonts w:ascii="Times New Roman" w:hAnsi="Times New Roman"/>
          <w:i/>
        </w:rPr>
        <w:t xml:space="preserve"> </w:t>
      </w:r>
      <w:r w:rsidRPr="00555FBC">
        <w:rPr>
          <w:rFonts w:ascii="Times New Roman" w:hAnsi="Times New Roman"/>
          <w:i/>
          <w:u w:val="single"/>
        </w:rPr>
        <w:t>La tarifa del impuesto al patrimonio es del 1% por cada año</w:t>
      </w:r>
      <w:r w:rsidRPr="00F53530">
        <w:rPr>
          <w:rFonts w:ascii="Times New Roman" w:hAnsi="Times New Roman"/>
          <w:i/>
        </w:rPr>
        <w:t>, del total de la base gravable establecida, de conformidad con el artículo 295-2 de este Estatuto.</w:t>
      </w:r>
    </w:p>
    <w:p w14:paraId="045A3932"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Con el fin de contribuir al bienestar general y al mejoramiento de la calidad de vida de la población, el setenta y cinco (75%) del recaudo por concepto del impuesto al patrimonio se destinará a la financiación de inversiones en el sector agropecuario.</w:t>
      </w:r>
    </w:p>
    <w:p w14:paraId="045A3933" w14:textId="77777777" w:rsidR="005E358C" w:rsidRPr="00F53530" w:rsidRDefault="005E358C"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34" w14:textId="1A3467E0" w:rsidR="00555FBC" w:rsidRPr="00555FBC" w:rsidRDefault="00555FBC" w:rsidP="00555FBC">
      <w:pPr>
        <w:numPr>
          <w:ilvl w:val="0"/>
          <w:numId w:val="6"/>
        </w:numPr>
        <w:spacing w:before="240" w:after="240" w:line="240" w:lineRule="auto"/>
        <w:jc w:val="both"/>
        <w:rPr>
          <w:rFonts w:ascii="Times New Roman" w:hAnsi="Times New Roman"/>
          <w:bCs/>
          <w:highlight w:val="cyan"/>
        </w:rPr>
      </w:pPr>
      <w:r w:rsidRPr="00555FBC">
        <w:rPr>
          <w:rFonts w:ascii="Times New Roman" w:hAnsi="Times New Roman"/>
          <w:bCs/>
          <w:highlight w:val="cyan"/>
        </w:rPr>
        <w:t xml:space="preserve">Aparte subrayado del inciso 1 del artículo 296-2 declarado EXEQUIBLE por la Corte Constitucional mediante </w:t>
      </w:r>
      <w:hyperlink r:id="rId33" w:history="1">
        <w:r w:rsidRPr="00555FBC">
          <w:rPr>
            <w:rStyle w:val="Hipervnculo"/>
            <w:rFonts w:ascii="Times New Roman" w:hAnsi="Times New Roman"/>
            <w:bCs/>
            <w:highlight w:val="cyan"/>
          </w:rPr>
          <w:t>Sentencia C-039 de 24 de febrero de 2021</w:t>
        </w:r>
      </w:hyperlink>
      <w:r w:rsidRPr="00555FBC">
        <w:rPr>
          <w:rFonts w:ascii="Times New Roman" w:hAnsi="Times New Roman"/>
          <w:bCs/>
          <w:highlight w:val="cyan"/>
        </w:rPr>
        <w:t>, Magistrada Ponente Dra. Cristina Pardo Schlesinger.</w:t>
      </w:r>
    </w:p>
    <w:p w14:paraId="045A3935" w14:textId="77777777" w:rsidR="00040448" w:rsidRPr="00F53530" w:rsidRDefault="00040448" w:rsidP="00C44821">
      <w:pPr>
        <w:spacing w:before="240" w:after="240" w:line="240" w:lineRule="auto"/>
        <w:jc w:val="both"/>
        <w:rPr>
          <w:rFonts w:ascii="Times New Roman" w:hAnsi="Times New Roman"/>
        </w:rPr>
      </w:pPr>
      <w:r w:rsidRPr="00BD6F01">
        <w:rPr>
          <w:rFonts w:ascii="Times New Roman" w:hAnsi="Times New Roman"/>
          <w:b/>
          <w:bCs/>
        </w:rPr>
        <w:t>ARTÍCULO 47.</w:t>
      </w:r>
      <w:r w:rsidR="00BD6F01">
        <w:rPr>
          <w:rFonts w:ascii="Times New Roman" w:hAnsi="Times New Roman"/>
          <w:b/>
          <w:bCs/>
        </w:rPr>
        <w:t xml:space="preserve"> </w:t>
      </w:r>
      <w:r w:rsidRPr="00F53530">
        <w:rPr>
          <w:rFonts w:ascii="Times New Roman" w:hAnsi="Times New Roman"/>
        </w:rPr>
        <w:t xml:space="preserve">Modifíquese el artículo 297-2 del </w:t>
      </w:r>
      <w:r w:rsidR="005E358C">
        <w:rPr>
          <w:rFonts w:ascii="Times New Roman" w:hAnsi="Times New Roman"/>
        </w:rPr>
        <w:t>*</w:t>
      </w:r>
      <w:r w:rsidRPr="00F53530">
        <w:rPr>
          <w:rFonts w:ascii="Times New Roman" w:hAnsi="Times New Roman"/>
        </w:rPr>
        <w:t>Estatuto Tributario, el cual quedará así:</w:t>
      </w:r>
    </w:p>
    <w:p w14:paraId="045A3936" w14:textId="77777777" w:rsidR="00040448" w:rsidRDefault="00040448" w:rsidP="00C44821">
      <w:pPr>
        <w:spacing w:before="240" w:after="240" w:line="240" w:lineRule="auto"/>
        <w:jc w:val="both"/>
        <w:rPr>
          <w:rFonts w:ascii="Times New Roman" w:hAnsi="Times New Roman"/>
          <w:i/>
        </w:rPr>
      </w:pPr>
      <w:r w:rsidRPr="00AC3781">
        <w:rPr>
          <w:rFonts w:ascii="Times New Roman" w:hAnsi="Times New Roman"/>
          <w:b/>
          <w:bCs/>
          <w:i/>
        </w:rPr>
        <w:t>Artículo 297-2</w:t>
      </w:r>
      <w:r w:rsidR="00280B8A" w:rsidRPr="00AC3781">
        <w:rPr>
          <w:rFonts w:ascii="Times New Roman" w:hAnsi="Times New Roman"/>
          <w:b/>
          <w:bCs/>
          <w:i/>
        </w:rPr>
        <w:t>.</w:t>
      </w:r>
      <w:r w:rsidRPr="00AC3781">
        <w:rPr>
          <w:rFonts w:ascii="Times New Roman" w:hAnsi="Times New Roman"/>
          <w:b/>
          <w:bCs/>
          <w:i/>
        </w:rPr>
        <w:t xml:space="preserve"> Causación. </w:t>
      </w:r>
      <w:r w:rsidRPr="00F53530">
        <w:rPr>
          <w:rFonts w:ascii="Times New Roman" w:hAnsi="Times New Roman"/>
          <w:i/>
        </w:rPr>
        <w:t>La obligación legal del impuesto al patrimonio se causa el 1 de enero de 2020 y el 1 de enero de 2021.</w:t>
      </w:r>
    </w:p>
    <w:p w14:paraId="045A3937" w14:textId="77777777" w:rsidR="005E358C" w:rsidRPr="00F53530" w:rsidRDefault="005E358C"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38" w14:textId="77777777" w:rsidR="00040448" w:rsidRPr="00F53530" w:rsidRDefault="00040448" w:rsidP="00C44821">
      <w:pPr>
        <w:spacing w:before="240" w:after="240" w:line="240" w:lineRule="auto"/>
        <w:jc w:val="both"/>
        <w:rPr>
          <w:rFonts w:ascii="Times New Roman" w:hAnsi="Times New Roman"/>
        </w:rPr>
      </w:pPr>
      <w:r w:rsidRPr="00BD6F01">
        <w:rPr>
          <w:rFonts w:ascii="Times New Roman" w:hAnsi="Times New Roman"/>
          <w:b/>
          <w:bCs/>
        </w:rPr>
        <w:t>ARTÍCULO 48.</w:t>
      </w:r>
      <w:r w:rsidR="00BD6F01">
        <w:rPr>
          <w:rFonts w:ascii="Times New Roman" w:hAnsi="Times New Roman"/>
          <w:b/>
          <w:bCs/>
        </w:rPr>
        <w:t xml:space="preserve"> </w:t>
      </w:r>
      <w:r w:rsidRPr="00F53530">
        <w:rPr>
          <w:rFonts w:ascii="Times New Roman" w:hAnsi="Times New Roman"/>
        </w:rPr>
        <w:t xml:space="preserve">Modifíquese el artículo 298-6 del </w:t>
      </w:r>
      <w:r w:rsidR="005E358C">
        <w:rPr>
          <w:rFonts w:ascii="Times New Roman" w:hAnsi="Times New Roman"/>
        </w:rPr>
        <w:t>*</w:t>
      </w:r>
      <w:r w:rsidRPr="00F53530">
        <w:rPr>
          <w:rFonts w:ascii="Times New Roman" w:hAnsi="Times New Roman"/>
        </w:rPr>
        <w:t>Estatuto Tributario, el cual quedará así:</w:t>
      </w:r>
    </w:p>
    <w:p w14:paraId="045A3939" w14:textId="77777777" w:rsidR="00040448" w:rsidRDefault="00040448" w:rsidP="00C44821">
      <w:pPr>
        <w:spacing w:before="240" w:after="240" w:line="240" w:lineRule="auto"/>
        <w:jc w:val="both"/>
        <w:rPr>
          <w:rFonts w:ascii="Times New Roman" w:hAnsi="Times New Roman"/>
          <w:i/>
        </w:rPr>
      </w:pPr>
      <w:r w:rsidRPr="00AC3781">
        <w:rPr>
          <w:rFonts w:ascii="Times New Roman" w:hAnsi="Times New Roman"/>
          <w:b/>
          <w:bCs/>
          <w:i/>
        </w:rPr>
        <w:t>Artículo 298-6</w:t>
      </w:r>
      <w:r w:rsidR="00280B8A" w:rsidRPr="00AC3781">
        <w:rPr>
          <w:rFonts w:ascii="Times New Roman" w:hAnsi="Times New Roman"/>
          <w:b/>
          <w:bCs/>
          <w:i/>
        </w:rPr>
        <w:t>.</w:t>
      </w:r>
      <w:r w:rsidRPr="00AC3781">
        <w:rPr>
          <w:rFonts w:ascii="Times New Roman" w:hAnsi="Times New Roman"/>
          <w:b/>
          <w:bCs/>
          <w:i/>
        </w:rPr>
        <w:t xml:space="preserve"> No deducibilidad del impuesto.</w:t>
      </w:r>
      <w:r w:rsidRPr="00F53530">
        <w:rPr>
          <w:rFonts w:ascii="Times New Roman" w:hAnsi="Times New Roman"/>
          <w:i/>
        </w:rPr>
        <w:t xml:space="preserve"> En ningún caso el valor cancelado por concepto del impuesto al patrimonio, ni su complementario de normalización tributaria serán deducibles o descontables en el impuesto sobre la renta y complementarios, ni podrán ser compensados con estos ni con otros impuestos.</w:t>
      </w:r>
    </w:p>
    <w:p w14:paraId="045A393A" w14:textId="77777777" w:rsidR="005E358C" w:rsidRPr="00F53530" w:rsidRDefault="005E358C"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3B" w14:textId="77777777" w:rsidR="00040448" w:rsidRPr="00F53530" w:rsidRDefault="00040448" w:rsidP="00C44821">
      <w:pPr>
        <w:spacing w:before="240" w:after="240" w:line="240" w:lineRule="auto"/>
        <w:jc w:val="both"/>
        <w:rPr>
          <w:rFonts w:ascii="Times New Roman" w:hAnsi="Times New Roman"/>
        </w:rPr>
      </w:pPr>
      <w:r w:rsidRPr="00BD6F01">
        <w:rPr>
          <w:rFonts w:ascii="Times New Roman" w:hAnsi="Times New Roman"/>
          <w:b/>
          <w:bCs/>
        </w:rPr>
        <w:t>ARTÍCULO 49.</w:t>
      </w:r>
      <w:r w:rsidR="00BD6F01">
        <w:rPr>
          <w:rFonts w:ascii="Times New Roman" w:hAnsi="Times New Roman"/>
          <w:b/>
          <w:bCs/>
        </w:rPr>
        <w:t xml:space="preserve"> </w:t>
      </w:r>
      <w:r w:rsidRPr="00F53530">
        <w:rPr>
          <w:rFonts w:ascii="Times New Roman" w:hAnsi="Times New Roman"/>
        </w:rPr>
        <w:t xml:space="preserve">Modifíquese el artículo 298-8 del </w:t>
      </w:r>
      <w:r w:rsidR="005E358C">
        <w:rPr>
          <w:rFonts w:ascii="Times New Roman" w:hAnsi="Times New Roman"/>
        </w:rPr>
        <w:t>*</w:t>
      </w:r>
      <w:r w:rsidRPr="00F53530">
        <w:rPr>
          <w:rFonts w:ascii="Times New Roman" w:hAnsi="Times New Roman"/>
        </w:rPr>
        <w:t>Estatuto Tributario, el cual quedará así:</w:t>
      </w:r>
    </w:p>
    <w:p w14:paraId="045A393C" w14:textId="77777777" w:rsidR="00040448" w:rsidRDefault="00040448" w:rsidP="00C44821">
      <w:pPr>
        <w:spacing w:before="240" w:after="240" w:line="240" w:lineRule="auto"/>
        <w:jc w:val="both"/>
        <w:rPr>
          <w:rFonts w:ascii="Times New Roman" w:hAnsi="Times New Roman"/>
          <w:i/>
        </w:rPr>
      </w:pPr>
      <w:r w:rsidRPr="00AC3781">
        <w:rPr>
          <w:rFonts w:ascii="Times New Roman" w:hAnsi="Times New Roman"/>
          <w:b/>
          <w:bCs/>
          <w:i/>
        </w:rPr>
        <w:t>Artículo 298-8 Remisión.</w:t>
      </w:r>
      <w:r w:rsidRPr="00F53530">
        <w:rPr>
          <w:rFonts w:ascii="Times New Roman" w:hAnsi="Times New Roman"/>
          <w:i/>
        </w:rPr>
        <w:t xml:space="preserve"> El impuesto al patrimonio de que trata el artículo 292-2 de este Estatuto se somete a las normas sobre declaración, pago, administración y control contempladas en los artículos 298</w:t>
      </w:r>
      <w:r w:rsidR="009F6554" w:rsidRPr="00F53530">
        <w:rPr>
          <w:rFonts w:ascii="Times New Roman" w:hAnsi="Times New Roman"/>
          <w:i/>
        </w:rPr>
        <w:t>,</w:t>
      </w:r>
      <w:r w:rsidRPr="00F53530">
        <w:rPr>
          <w:rFonts w:ascii="Times New Roman" w:hAnsi="Times New Roman"/>
          <w:i/>
        </w:rPr>
        <w:t xml:space="preserve"> 298-1</w:t>
      </w:r>
      <w:r w:rsidR="009F6554" w:rsidRPr="00F53530">
        <w:rPr>
          <w:rFonts w:ascii="Times New Roman" w:hAnsi="Times New Roman"/>
          <w:i/>
        </w:rPr>
        <w:t>,</w:t>
      </w:r>
      <w:r w:rsidRPr="00F53530">
        <w:rPr>
          <w:rFonts w:ascii="Times New Roman" w:hAnsi="Times New Roman"/>
          <w:i/>
        </w:rPr>
        <w:t xml:space="preserve"> 298-2 y demás disposiciones concordantes de este Estatuto.</w:t>
      </w:r>
    </w:p>
    <w:p w14:paraId="045A393D" w14:textId="77777777" w:rsidR="005E358C" w:rsidRPr="00F53530" w:rsidRDefault="005E358C"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3E" w14:textId="77777777" w:rsidR="00040448" w:rsidRPr="00F53530" w:rsidRDefault="00040448" w:rsidP="00C44821">
      <w:pPr>
        <w:pStyle w:val="Ttulo2"/>
      </w:pPr>
      <w:r w:rsidRPr="00F53530">
        <w:lastRenderedPageBreak/>
        <w:t>CAPÍTULO II</w:t>
      </w:r>
      <w:r w:rsidR="00BD6F01">
        <w:br/>
      </w:r>
      <w:r w:rsidRPr="00F53530">
        <w:t>IMPUESTO A LOS DIVIDENDOS PARA SOCIEDADES NACIONALES</w:t>
      </w:r>
    </w:p>
    <w:p w14:paraId="045A393F" w14:textId="77777777" w:rsidR="00040448" w:rsidRPr="00F53530" w:rsidRDefault="00040448" w:rsidP="00C44821">
      <w:pPr>
        <w:spacing w:before="240" w:after="240" w:line="240" w:lineRule="auto"/>
        <w:jc w:val="both"/>
        <w:rPr>
          <w:rFonts w:ascii="Times New Roman" w:hAnsi="Times New Roman"/>
        </w:rPr>
      </w:pPr>
      <w:r w:rsidRPr="00BD6F01">
        <w:rPr>
          <w:rFonts w:ascii="Times New Roman" w:hAnsi="Times New Roman"/>
          <w:b/>
          <w:bCs/>
        </w:rPr>
        <w:t>ARTÍCULO 50.</w:t>
      </w:r>
      <w:r w:rsidR="00BD6F01">
        <w:rPr>
          <w:rFonts w:ascii="Times New Roman" w:hAnsi="Times New Roman"/>
        </w:rPr>
        <w:t xml:space="preserve"> </w:t>
      </w:r>
      <w:r w:rsidRPr="00F53530">
        <w:rPr>
          <w:rFonts w:ascii="Times New Roman" w:hAnsi="Times New Roman"/>
        </w:rPr>
        <w:t xml:space="preserve">Adiciónese el artículo 242-1 del </w:t>
      </w:r>
      <w:r w:rsidR="005E358C">
        <w:rPr>
          <w:rFonts w:ascii="Times New Roman" w:hAnsi="Times New Roman"/>
        </w:rPr>
        <w:t>*</w:t>
      </w:r>
      <w:r w:rsidRPr="00F53530">
        <w:rPr>
          <w:rFonts w:ascii="Times New Roman" w:hAnsi="Times New Roman"/>
        </w:rPr>
        <w:t>Estatuto Tributario, el cual quedará así:</w:t>
      </w:r>
    </w:p>
    <w:p w14:paraId="045A3940" w14:textId="77777777" w:rsidR="00040448" w:rsidRPr="00F53530" w:rsidRDefault="00040448" w:rsidP="00C44821">
      <w:pPr>
        <w:spacing w:before="240" w:after="240" w:line="240" w:lineRule="auto"/>
        <w:jc w:val="both"/>
        <w:rPr>
          <w:rFonts w:ascii="Times New Roman" w:hAnsi="Times New Roman"/>
          <w:i/>
        </w:rPr>
      </w:pPr>
      <w:r w:rsidRPr="00AC3781">
        <w:rPr>
          <w:rFonts w:ascii="Times New Roman" w:hAnsi="Times New Roman"/>
          <w:b/>
          <w:bCs/>
          <w:i/>
        </w:rPr>
        <w:t>Artículo 242-1</w:t>
      </w:r>
      <w:r w:rsidR="00280B8A" w:rsidRPr="00AC3781">
        <w:rPr>
          <w:rFonts w:ascii="Times New Roman" w:hAnsi="Times New Roman"/>
          <w:b/>
          <w:bCs/>
          <w:i/>
        </w:rPr>
        <w:t>.</w:t>
      </w:r>
      <w:r w:rsidRPr="00AC3781">
        <w:rPr>
          <w:rFonts w:ascii="Times New Roman" w:hAnsi="Times New Roman"/>
          <w:b/>
          <w:bCs/>
          <w:i/>
        </w:rPr>
        <w:t xml:space="preserve"> Tarifa especial para dividendos o participaciones recibidas por sociedades nacionales</w:t>
      </w:r>
      <w:r w:rsidRPr="00F53530">
        <w:rPr>
          <w:rFonts w:ascii="Times New Roman" w:hAnsi="Times New Roman"/>
          <w:i/>
        </w:rPr>
        <w:t>. Los dividendos y participaciones pagados o abonados en cuenta a sociedades nacionales, provenientes de distribución de utilidades que hubieren sido consideradas como ingreso no constitutivo de renta ni ganancia ocasional, conforme a lo dispuesto en el numeral 3 del artículo 49 de este Estatuto, estarán sujetas a la tarifa del siete y medio por ciento (7,5%) a título de retención en la fuente sobre la renta, que será trasladable e imputable a la persona natural residente o inversionista residente en el exterior.</w:t>
      </w:r>
    </w:p>
    <w:p w14:paraId="045A394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Los dividendos y participaciones pagados o abonados en cuenta a sociedades nacionales, provenientes de distribuciones de utilidades gravadas conforme a lo dispuesto en el parágrafo 2 del artículo 49 del </w:t>
      </w:r>
      <w:r w:rsidR="005E358C">
        <w:rPr>
          <w:rFonts w:ascii="Times New Roman" w:hAnsi="Times New Roman"/>
          <w:i/>
        </w:rPr>
        <w:t>*</w:t>
      </w:r>
      <w:r w:rsidRPr="00F53530">
        <w:rPr>
          <w:rFonts w:ascii="Times New Roman" w:hAnsi="Times New Roman"/>
          <w:i/>
        </w:rPr>
        <w:t xml:space="preserve">Estatuto Tributario, estarán sujetos a la tarifa señalada en el artículo 240 del </w:t>
      </w:r>
      <w:r w:rsidR="005E358C">
        <w:rPr>
          <w:rFonts w:ascii="Times New Roman" w:hAnsi="Times New Roman"/>
          <w:i/>
        </w:rPr>
        <w:t>*</w:t>
      </w:r>
      <w:r w:rsidRPr="00F53530">
        <w:rPr>
          <w:rFonts w:ascii="Times New Roman" w:hAnsi="Times New Roman"/>
          <w:i/>
        </w:rPr>
        <w:t>Estatuto Tributario, según el periodo gravable en que se paguen o abonen en cuenta, caso en el cual la retención en la fuente señalada en el inciso anterior se aplicará una vez disminuido este impuesto. A esta misma tarifa estarán gravados los dividendos y participaciones recibidos de sociedades y entidades extranjeras.</w:t>
      </w:r>
    </w:p>
    <w:p w14:paraId="045A3942" w14:textId="77777777" w:rsidR="00040448" w:rsidRPr="00F53530" w:rsidRDefault="00280B8A" w:rsidP="00C44821">
      <w:pPr>
        <w:spacing w:before="240" w:after="240" w:line="240" w:lineRule="auto"/>
        <w:jc w:val="both"/>
        <w:rPr>
          <w:rFonts w:ascii="Times New Roman" w:hAnsi="Times New Roman"/>
          <w:i/>
        </w:rPr>
      </w:pPr>
      <w:r w:rsidRPr="00AC3781">
        <w:rPr>
          <w:rFonts w:ascii="Times New Roman" w:hAnsi="Times New Roman"/>
          <w:b/>
          <w:bCs/>
          <w:i/>
        </w:rPr>
        <w:t xml:space="preserve">PARÁGRAFO 1. </w:t>
      </w:r>
      <w:r w:rsidR="00040448" w:rsidRPr="00F53530">
        <w:rPr>
          <w:rFonts w:ascii="Times New Roman" w:hAnsi="Times New Roman"/>
          <w:i/>
        </w:rPr>
        <w:t>La retención en la fuente será calculada sobre el valor bruto de los pagos o abonos en cuenta por concepto de dividendos o participaciones.</w:t>
      </w:r>
    </w:p>
    <w:p w14:paraId="045A394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retención en la fuente a la que se refiere este artículo solo se practica en la sociedad nacional que reciba los dividendos por primera vez, y el crédito será trasladable hasta el beneficiario final persona natural residente o inversionista residente en el exterior.</w:t>
      </w:r>
    </w:p>
    <w:p w14:paraId="045A3944" w14:textId="77777777" w:rsidR="00040448" w:rsidRPr="00F53530" w:rsidRDefault="00280B8A" w:rsidP="00C44821">
      <w:pPr>
        <w:spacing w:before="240" w:after="240" w:line="240" w:lineRule="auto"/>
        <w:jc w:val="both"/>
        <w:rPr>
          <w:rFonts w:ascii="Times New Roman" w:hAnsi="Times New Roman"/>
          <w:i/>
        </w:rPr>
      </w:pPr>
      <w:r w:rsidRPr="00AC3781">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Las sociedades bajo el régimen CHC del impuesto sobre la renta, incluyendo las entidades públicas descentralizadas, no están sujetas a la retención en la fuente sobre los dividendos distribuidos por sociedades en Colombia.</w:t>
      </w:r>
    </w:p>
    <w:p w14:paraId="045A3945" w14:textId="77777777" w:rsidR="00040448" w:rsidRDefault="00280B8A" w:rsidP="00C44821">
      <w:pPr>
        <w:spacing w:before="240" w:after="240" w:line="240" w:lineRule="auto"/>
        <w:jc w:val="both"/>
        <w:rPr>
          <w:rFonts w:ascii="Times New Roman" w:hAnsi="Times New Roman"/>
          <w:i/>
        </w:rPr>
      </w:pPr>
      <w:r w:rsidRPr="00AC3781">
        <w:rPr>
          <w:rFonts w:ascii="Times New Roman" w:hAnsi="Times New Roman"/>
          <w:b/>
          <w:bCs/>
          <w:i/>
        </w:rPr>
        <w:t>PARÁGRAFO 3.</w:t>
      </w:r>
      <w:r w:rsidRPr="00F53530">
        <w:rPr>
          <w:rFonts w:ascii="Times New Roman" w:hAnsi="Times New Roman"/>
          <w:i/>
        </w:rPr>
        <w:t xml:space="preserve"> </w:t>
      </w:r>
      <w:r w:rsidR="00040448" w:rsidRPr="00F53530">
        <w:rPr>
          <w:rFonts w:ascii="Times New Roman" w:hAnsi="Times New Roman"/>
          <w:i/>
        </w:rPr>
        <w:t>Los dividendos que se distribuyen dentro de los grupos empresariales o dentro de sociedades en situación de control debidamente registrados ante la Cámara de Comercio, no estarán sujetos a la retención en la fuente regulada en este artículo. Lo anterior, siempre y cuando no se trate de una entidad intermedia dispuesta para el diferimiento del impuesto sobre los dividendos.</w:t>
      </w:r>
    </w:p>
    <w:p w14:paraId="045A3946" w14:textId="77777777" w:rsidR="005E358C" w:rsidRPr="00F53530" w:rsidRDefault="005E358C"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47" w14:textId="77777777" w:rsidR="00040448" w:rsidRPr="0038108D" w:rsidRDefault="00040448" w:rsidP="00C44821">
      <w:pPr>
        <w:spacing w:before="240" w:after="240" w:line="240" w:lineRule="auto"/>
        <w:jc w:val="both"/>
        <w:rPr>
          <w:rFonts w:ascii="Times New Roman" w:hAnsi="Times New Roman"/>
          <w:iCs/>
        </w:rPr>
      </w:pPr>
      <w:r w:rsidRPr="0038108D">
        <w:rPr>
          <w:rFonts w:ascii="Times New Roman" w:hAnsi="Times New Roman"/>
          <w:b/>
          <w:bCs/>
          <w:iCs/>
        </w:rPr>
        <w:t>ARTÍCULO 51.</w:t>
      </w:r>
      <w:r w:rsidR="0038108D" w:rsidRPr="0038108D">
        <w:rPr>
          <w:rFonts w:ascii="Times New Roman" w:hAnsi="Times New Roman"/>
          <w:iCs/>
        </w:rPr>
        <w:t xml:space="preserve"> </w:t>
      </w:r>
      <w:r w:rsidRPr="0038108D">
        <w:rPr>
          <w:rFonts w:ascii="Times New Roman" w:hAnsi="Times New Roman"/>
          <w:iCs/>
        </w:rPr>
        <w:t xml:space="preserve">Modifíquese el artículo 245 del </w:t>
      </w:r>
      <w:r w:rsidR="005E358C">
        <w:rPr>
          <w:rFonts w:ascii="Times New Roman" w:hAnsi="Times New Roman"/>
          <w:iCs/>
        </w:rPr>
        <w:t>*</w:t>
      </w:r>
      <w:r w:rsidRPr="0038108D">
        <w:rPr>
          <w:rFonts w:ascii="Times New Roman" w:hAnsi="Times New Roman"/>
          <w:iCs/>
        </w:rPr>
        <w:t>Estatuto Tributario, el cual quedará así:</w:t>
      </w:r>
    </w:p>
    <w:p w14:paraId="045A3948" w14:textId="77777777" w:rsidR="00040448" w:rsidRPr="00F53530" w:rsidRDefault="00040448" w:rsidP="00C44821">
      <w:pPr>
        <w:spacing w:before="240" w:after="240" w:line="240" w:lineRule="auto"/>
        <w:jc w:val="both"/>
        <w:rPr>
          <w:rFonts w:ascii="Times New Roman" w:hAnsi="Times New Roman"/>
          <w:i/>
        </w:rPr>
      </w:pPr>
      <w:r w:rsidRPr="000B5043">
        <w:rPr>
          <w:rFonts w:ascii="Times New Roman" w:hAnsi="Times New Roman"/>
          <w:b/>
          <w:bCs/>
          <w:i/>
        </w:rPr>
        <w:t>Artículo 245</w:t>
      </w:r>
      <w:r w:rsidR="00280B8A" w:rsidRPr="000B5043">
        <w:rPr>
          <w:rFonts w:ascii="Times New Roman" w:hAnsi="Times New Roman"/>
          <w:b/>
          <w:bCs/>
          <w:i/>
        </w:rPr>
        <w:t>.</w:t>
      </w:r>
      <w:r w:rsidRPr="000B5043">
        <w:rPr>
          <w:rFonts w:ascii="Times New Roman" w:hAnsi="Times New Roman"/>
          <w:b/>
          <w:bCs/>
          <w:i/>
        </w:rPr>
        <w:t xml:space="preserve"> Tarifa especial para dividendos o participaciones recibidos por sociedades y entidades extranjeras y por personas naturales no residentes.</w:t>
      </w:r>
      <w:r w:rsidRPr="00F53530">
        <w:rPr>
          <w:rFonts w:ascii="Times New Roman" w:hAnsi="Times New Roman"/>
          <w:i/>
        </w:rPr>
        <w:t xml:space="preserve"> 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del diez por ciento (10%).</w:t>
      </w:r>
    </w:p>
    <w:p w14:paraId="045A3949" w14:textId="77777777" w:rsidR="00040448" w:rsidRPr="00F53530" w:rsidRDefault="00280B8A" w:rsidP="00C44821">
      <w:pPr>
        <w:spacing w:before="240" w:after="240" w:line="240" w:lineRule="auto"/>
        <w:jc w:val="both"/>
        <w:rPr>
          <w:rFonts w:ascii="Times New Roman" w:hAnsi="Times New Roman"/>
          <w:i/>
        </w:rPr>
      </w:pPr>
      <w:r w:rsidRPr="000B5043">
        <w:rPr>
          <w:rFonts w:ascii="Times New Roman" w:hAnsi="Times New Roman"/>
          <w:b/>
          <w:bCs/>
          <w:i/>
        </w:rPr>
        <w:lastRenderedPageBreak/>
        <w:t>PARÁGRAFO 1.</w:t>
      </w:r>
      <w:r w:rsidRPr="00F53530">
        <w:rPr>
          <w:rFonts w:ascii="Times New Roman" w:hAnsi="Times New Roman"/>
          <w:i/>
        </w:rPr>
        <w:t xml:space="preserve"> </w:t>
      </w:r>
      <w:r w:rsidR="00040448" w:rsidRPr="00F53530">
        <w:rPr>
          <w:rFonts w:ascii="Times New Roman" w:hAnsi="Times New Roman"/>
          <w:i/>
        </w:rPr>
        <w:t>Cuando los dividendos o participaciones correspondan a utilidades, que de haberse distribuido a una sociedad nacional hubieren estado gravadas, conforme a las reglas de los artículos 48 y 49 del Estatuto Tributario estarán sometidos a la tarifa señalada en el artículo 240 del Estatuto Tributario, según el periodo gravable en que se paguen o abonen en cuenta, caso en el cual el impuesto señalado en el inciso anterior, se aplicará una vez disminuido este impuesto.</w:t>
      </w:r>
    </w:p>
    <w:p w14:paraId="045A394A" w14:textId="77777777" w:rsidR="00040448" w:rsidRDefault="00280B8A" w:rsidP="00C44821">
      <w:pPr>
        <w:spacing w:before="240" w:after="240" w:line="240" w:lineRule="auto"/>
        <w:jc w:val="both"/>
        <w:rPr>
          <w:rFonts w:ascii="Times New Roman" w:hAnsi="Times New Roman"/>
          <w:i/>
        </w:rPr>
      </w:pPr>
      <w:r w:rsidRPr="000B5043">
        <w:rPr>
          <w:rFonts w:ascii="Times New Roman" w:hAnsi="Times New Roman"/>
          <w:b/>
          <w:bCs/>
          <w:i/>
        </w:rPr>
        <w:t>PARÁGRAFO 2</w:t>
      </w:r>
      <w:r w:rsidRPr="00F53530">
        <w:rPr>
          <w:rFonts w:ascii="Times New Roman" w:hAnsi="Times New Roman"/>
          <w:i/>
        </w:rPr>
        <w:t>.</w:t>
      </w:r>
      <w:r w:rsidR="00A03C6F" w:rsidRPr="00F53530">
        <w:rPr>
          <w:rFonts w:ascii="Times New Roman" w:hAnsi="Times New Roman"/>
          <w:i/>
        </w:rPr>
        <w:t xml:space="preserve"> </w:t>
      </w:r>
      <w:r w:rsidR="00040448" w:rsidRPr="00F53530">
        <w:rPr>
          <w:rFonts w:ascii="Times New Roman" w:hAnsi="Times New Roman"/>
          <w:i/>
        </w:rPr>
        <w:t>El impuesto de que trata este artículo será retenido en la fuente, sobre el valor bruto de los pagos o abonos en cuenta por concepto de dividendos o participaciones.</w:t>
      </w:r>
    </w:p>
    <w:p w14:paraId="045A394B" w14:textId="77777777" w:rsidR="005E358C" w:rsidRPr="00F53530" w:rsidRDefault="005E358C"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4C" w14:textId="77777777" w:rsidR="00040448" w:rsidRPr="00F53530" w:rsidRDefault="00040448" w:rsidP="00C44821">
      <w:pPr>
        <w:spacing w:before="240" w:after="240" w:line="240" w:lineRule="auto"/>
        <w:jc w:val="both"/>
        <w:rPr>
          <w:rFonts w:ascii="Times New Roman" w:hAnsi="Times New Roman"/>
        </w:rPr>
      </w:pPr>
      <w:r w:rsidRPr="0038108D">
        <w:rPr>
          <w:rFonts w:ascii="Times New Roman" w:hAnsi="Times New Roman"/>
          <w:b/>
          <w:bCs/>
        </w:rPr>
        <w:t>ARTÍCULO 52.</w:t>
      </w:r>
      <w:r w:rsidR="0038108D">
        <w:rPr>
          <w:rFonts w:ascii="Times New Roman" w:hAnsi="Times New Roman"/>
          <w:b/>
          <w:bCs/>
        </w:rPr>
        <w:t xml:space="preserve"> </w:t>
      </w:r>
      <w:r w:rsidRPr="00F53530">
        <w:rPr>
          <w:rFonts w:ascii="Times New Roman" w:hAnsi="Times New Roman"/>
        </w:rPr>
        <w:t xml:space="preserve">Modifíquese el artículo 246 del </w:t>
      </w:r>
      <w:r w:rsidR="005E358C">
        <w:rPr>
          <w:rFonts w:ascii="Times New Roman" w:hAnsi="Times New Roman"/>
        </w:rPr>
        <w:t>*</w:t>
      </w:r>
      <w:r w:rsidRPr="00F53530">
        <w:rPr>
          <w:rFonts w:ascii="Times New Roman" w:hAnsi="Times New Roman"/>
        </w:rPr>
        <w:t>Estatuto Tributario, el cual quedará así:</w:t>
      </w:r>
    </w:p>
    <w:p w14:paraId="045A394D" w14:textId="77777777" w:rsidR="00040448" w:rsidRPr="00F53530" w:rsidRDefault="00040448" w:rsidP="00C44821">
      <w:pPr>
        <w:spacing w:before="240" w:after="240" w:line="240" w:lineRule="auto"/>
        <w:jc w:val="both"/>
        <w:rPr>
          <w:rFonts w:ascii="Times New Roman" w:hAnsi="Times New Roman"/>
          <w:i/>
        </w:rPr>
      </w:pPr>
      <w:r w:rsidRPr="000B5043">
        <w:rPr>
          <w:rFonts w:ascii="Times New Roman" w:hAnsi="Times New Roman"/>
          <w:b/>
          <w:bCs/>
          <w:i/>
        </w:rPr>
        <w:t>Artículo 246</w:t>
      </w:r>
      <w:r w:rsidR="00280B8A" w:rsidRPr="000B5043">
        <w:rPr>
          <w:rFonts w:ascii="Times New Roman" w:hAnsi="Times New Roman"/>
          <w:b/>
          <w:bCs/>
          <w:i/>
        </w:rPr>
        <w:t>.</w:t>
      </w:r>
      <w:r w:rsidRPr="000B5043">
        <w:rPr>
          <w:rFonts w:ascii="Times New Roman" w:hAnsi="Times New Roman"/>
          <w:b/>
          <w:bCs/>
          <w:i/>
        </w:rPr>
        <w:t xml:space="preserve"> Tarifa especial para dividendos y participaciones recibidos por establecimientos permanentes de sociedades extranjeras.</w:t>
      </w:r>
      <w:r w:rsidRPr="00F53530">
        <w:rPr>
          <w:rFonts w:ascii="Times New Roman" w:hAnsi="Times New Roman"/>
          <w:i/>
        </w:rPr>
        <w:t xml:space="preserve"> La tarifa del impuesto sobre la renta aplicable a los dividendos y participaciones que se paguen o abonen en cuenta a establecimientos permanentes en Colombia de sociedades extranjeras será del diez por ciento (10%), cuando provengan de utilidades que hayan sido distribuidas a título de ingreso no constitutivo de renta ni ganancia ocasional.</w:t>
      </w:r>
    </w:p>
    <w:p w14:paraId="045A394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Cuando estos dividendos provengan de utilidades que no sean susceptibles de ser distribuidas a título de ingreso no constitutivo de renta ni ganancia ocasional, estarán gravados a la tarifa señalada en el artículo 240 del </w:t>
      </w:r>
      <w:r w:rsidR="005E358C">
        <w:rPr>
          <w:rFonts w:ascii="Times New Roman" w:hAnsi="Times New Roman"/>
          <w:i/>
        </w:rPr>
        <w:t>*</w:t>
      </w:r>
      <w:r w:rsidRPr="00F53530">
        <w:rPr>
          <w:rFonts w:ascii="Times New Roman" w:hAnsi="Times New Roman"/>
          <w:i/>
        </w:rPr>
        <w:t>Estatuto Tributario, según el periodo gravable en que se paguen o abonen en cuenta, caso en el cual el impuesto señalado en el inciso anterior, se aplicará una vez disminuido este impuesto.</w:t>
      </w:r>
    </w:p>
    <w:p w14:paraId="045A394F"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En cualquier caso, el impuesto será retenido en la fuente en el momento del pago o abono en cuenta.</w:t>
      </w:r>
    </w:p>
    <w:p w14:paraId="045A3950" w14:textId="77777777" w:rsidR="005E358C" w:rsidRPr="00F53530" w:rsidRDefault="005E358C"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51" w14:textId="77777777" w:rsidR="00F53530" w:rsidRDefault="00B26BCD" w:rsidP="00C44821">
      <w:pPr>
        <w:pStyle w:val="Ttulo2"/>
      </w:pPr>
      <w:r w:rsidRPr="00F53530">
        <w:t>CAPÍTULO III</w:t>
      </w:r>
      <w:r w:rsidR="0038108D">
        <w:br/>
      </w:r>
      <w:r w:rsidR="00040448" w:rsidRPr="00F53530">
        <w:t>IMPUESTO DE NORMALIZACIÓN TRIBUTARIA COMPLEMENTARIO AL IMPUESTO SOBRE LA RE</w:t>
      </w:r>
      <w:r w:rsidRPr="00F53530">
        <w:t>NTA Y AL IMPUESTO AL PATRIMONIO</w:t>
      </w:r>
    </w:p>
    <w:p w14:paraId="045A3952" w14:textId="77777777" w:rsidR="00040448" w:rsidRPr="00F53530" w:rsidRDefault="00040448" w:rsidP="00C44821">
      <w:pPr>
        <w:spacing w:before="240" w:after="240" w:line="240" w:lineRule="auto"/>
        <w:jc w:val="both"/>
        <w:rPr>
          <w:rFonts w:ascii="Times New Roman" w:hAnsi="Times New Roman"/>
        </w:rPr>
      </w:pPr>
      <w:r w:rsidRPr="00B544D1">
        <w:rPr>
          <w:rFonts w:ascii="Times New Roman" w:hAnsi="Times New Roman"/>
          <w:b/>
          <w:bCs/>
        </w:rPr>
        <w:t>ARTÍCULO 53. IMPUESTO COMPLEMENTARIO DE NORMALIZACIÓN TRIBUTARIA - SUJETOS PASIVOS.</w:t>
      </w:r>
      <w:r w:rsidR="00B544D1">
        <w:rPr>
          <w:rFonts w:ascii="Times New Roman" w:hAnsi="Times New Roman"/>
          <w:b/>
          <w:bCs/>
        </w:rPr>
        <w:t xml:space="preserve"> </w:t>
      </w:r>
      <w:r w:rsidRPr="00F53530">
        <w:rPr>
          <w:rFonts w:ascii="Times New Roman" w:hAnsi="Times New Roman"/>
        </w:rPr>
        <w:t>Créase para el año 2020 el impuesto de normalización tributaria como un impuesto complementario al impuesto sobre la renta y al impuesto al patrimonio, el cual estará a cargo de los contribuyentes del impuesto sobre la renta o de regímenes sustitutivos del impuesto sobre la renta, que tengan activos omitidos o pasivos inexistentes.</w:t>
      </w:r>
    </w:p>
    <w:p w14:paraId="045A3953" w14:textId="77777777" w:rsidR="00040448" w:rsidRPr="00F53530" w:rsidRDefault="00280B8A" w:rsidP="00C44821">
      <w:pPr>
        <w:spacing w:before="240" w:after="240" w:line="240" w:lineRule="auto"/>
        <w:jc w:val="both"/>
        <w:rPr>
          <w:rFonts w:ascii="Times New Roman" w:hAnsi="Times New Roman"/>
        </w:rPr>
      </w:pPr>
      <w:r w:rsidRPr="000B5043">
        <w:rPr>
          <w:rFonts w:ascii="Times New Roman" w:hAnsi="Times New Roman"/>
          <w:b/>
          <w:bCs/>
        </w:rPr>
        <w:t>PARÁGRAFO.</w:t>
      </w:r>
      <w:r w:rsidRPr="00F53530">
        <w:rPr>
          <w:rFonts w:ascii="Times New Roman" w:hAnsi="Times New Roman"/>
        </w:rPr>
        <w:t xml:space="preserve"> </w:t>
      </w:r>
      <w:r w:rsidR="00040448" w:rsidRPr="00F53530">
        <w:rPr>
          <w:rFonts w:ascii="Times New Roman" w:hAnsi="Times New Roman"/>
        </w:rPr>
        <w:t>Los contribuyentes del impuesto sobre la renta o de regímenes sustitutivos del impuesto sobre la renta que no tengan activos omitidos o pasivos inexistentes a 1 de enero de 2020 no serán sujetos pasivos del impuesto complementario de normalización, salvo que decidan acogerse al saneamiento establecido en el artículo 59 de la presente ley.</w:t>
      </w:r>
    </w:p>
    <w:p w14:paraId="045A3954" w14:textId="4308E763" w:rsidR="00E21802" w:rsidRPr="00E6577C" w:rsidRDefault="00E21802" w:rsidP="00C44821">
      <w:pPr>
        <w:numPr>
          <w:ilvl w:val="0"/>
          <w:numId w:val="6"/>
        </w:numPr>
        <w:spacing w:before="240" w:after="240" w:line="240" w:lineRule="auto"/>
        <w:jc w:val="both"/>
        <w:rPr>
          <w:rFonts w:ascii="Times New Roman" w:hAnsi="Times New Roman"/>
          <w:bCs/>
          <w:highlight w:val="yellow"/>
        </w:rPr>
      </w:pPr>
      <w:hyperlink r:id="rId34" w:history="1">
        <w:r w:rsidRPr="00E6577C">
          <w:rPr>
            <w:rStyle w:val="Hipervnculo"/>
            <w:rFonts w:ascii="Times New Roman" w:hAnsi="Times New Roman"/>
            <w:b/>
            <w:bCs/>
            <w:highlight w:val="yellow"/>
          </w:rPr>
          <w:t>Decreto Único Reglamentario 1625 de 11 de octubre de 2016</w:t>
        </w:r>
      </w:hyperlink>
      <w:r w:rsidRPr="00E6577C">
        <w:rPr>
          <w:rFonts w:ascii="Times New Roman" w:hAnsi="Times New Roman"/>
          <w:b/>
          <w:bCs/>
          <w:highlight w:val="yellow"/>
        </w:rPr>
        <w:t xml:space="preserve">: </w:t>
      </w:r>
      <w:r w:rsidRPr="00E6577C">
        <w:rPr>
          <w:rFonts w:ascii="Times New Roman" w:hAnsi="Times New Roman"/>
          <w:bCs/>
          <w:highlight w:val="yellow"/>
        </w:rPr>
        <w:t xml:space="preserve">Arts. </w:t>
      </w:r>
      <w:r w:rsidRPr="00E6577C">
        <w:rPr>
          <w:rFonts w:ascii="Times New Roman" w:hAnsi="Times New Roman"/>
          <w:highlight w:val="yellow"/>
        </w:rPr>
        <w:t>1.5.7.1 al 1.5.7.6.</w:t>
      </w:r>
    </w:p>
    <w:p w14:paraId="045A3955" w14:textId="77777777" w:rsidR="002F0C63" w:rsidRPr="008D36C3" w:rsidRDefault="002F0C63" w:rsidP="002F0C63">
      <w:pPr>
        <w:spacing w:after="0" w:line="240" w:lineRule="auto"/>
        <w:jc w:val="both"/>
        <w:rPr>
          <w:rFonts w:ascii="Times New Roman" w:hAnsi="Times New Roman"/>
          <w:b/>
          <w:bCs/>
          <w:highlight w:val="lightGray"/>
        </w:rPr>
      </w:pPr>
      <w:r w:rsidRPr="008D36C3">
        <w:rPr>
          <w:rFonts w:ascii="Times New Roman" w:hAnsi="Times New Roman"/>
          <w:b/>
          <w:bCs/>
          <w:highlight w:val="lightGray"/>
        </w:rPr>
        <w:t>DOCTRINA:</w:t>
      </w:r>
    </w:p>
    <w:p w14:paraId="045A3956" w14:textId="580E49E2" w:rsidR="002F0C63" w:rsidRPr="008D36C3" w:rsidRDefault="002F0C63" w:rsidP="002F0C63">
      <w:pPr>
        <w:numPr>
          <w:ilvl w:val="0"/>
          <w:numId w:val="6"/>
        </w:numPr>
        <w:spacing w:after="0" w:line="240" w:lineRule="auto"/>
        <w:jc w:val="both"/>
        <w:rPr>
          <w:rFonts w:ascii="Times New Roman" w:hAnsi="Times New Roman"/>
          <w:b/>
          <w:bCs/>
          <w:highlight w:val="lightGray"/>
        </w:rPr>
      </w:pPr>
      <w:hyperlink r:id="rId35" w:history="1">
        <w:r w:rsidRPr="008D36C3">
          <w:rPr>
            <w:rStyle w:val="Hipervnculo"/>
            <w:rFonts w:ascii="Times New Roman" w:hAnsi="Times New Roman"/>
            <w:b/>
            <w:bCs/>
            <w:highlight w:val="lightGray"/>
          </w:rPr>
          <w:t>CONCEPTO 905133 DE 24 DE SEPTIEMBRE DE 2020</w:t>
        </w:r>
      </w:hyperlink>
      <w:r w:rsidRPr="008D36C3">
        <w:rPr>
          <w:rFonts w:ascii="Times New Roman" w:hAnsi="Times New Roman"/>
          <w:b/>
          <w:bCs/>
          <w:highlight w:val="lightGray"/>
        </w:rPr>
        <w:t>. DIAN.</w:t>
      </w:r>
      <w:r w:rsidRPr="008D36C3">
        <w:rPr>
          <w:highlight w:val="lightGray"/>
        </w:rPr>
        <w:t xml:space="preserve"> </w:t>
      </w:r>
      <w:r w:rsidRPr="008D36C3">
        <w:rPr>
          <w:rFonts w:ascii="Times New Roman" w:hAnsi="Times New Roman"/>
          <w:bCs/>
          <w:i/>
          <w:highlight w:val="lightGray"/>
        </w:rPr>
        <w:t>Sujeto pasivo del Impuesto de normalización, cuando se está en presencia de una estructura del exterior que involucra una fundación de interés privado.</w:t>
      </w:r>
    </w:p>
    <w:p w14:paraId="045A3957" w14:textId="77777777" w:rsidR="00040448" w:rsidRPr="00F53530" w:rsidRDefault="00040448" w:rsidP="00C44821">
      <w:pPr>
        <w:spacing w:before="240" w:after="240" w:line="240" w:lineRule="auto"/>
        <w:jc w:val="both"/>
        <w:rPr>
          <w:rFonts w:ascii="Times New Roman" w:hAnsi="Times New Roman"/>
        </w:rPr>
      </w:pPr>
      <w:r w:rsidRPr="00B544D1">
        <w:rPr>
          <w:rFonts w:ascii="Times New Roman" w:hAnsi="Times New Roman"/>
          <w:b/>
          <w:bCs/>
        </w:rPr>
        <w:t>ARTÍCULO 54. HECHO GENERADOR.</w:t>
      </w:r>
      <w:r w:rsidR="00B544D1">
        <w:rPr>
          <w:rFonts w:ascii="Times New Roman" w:hAnsi="Times New Roman"/>
          <w:b/>
          <w:bCs/>
        </w:rPr>
        <w:t xml:space="preserve"> </w:t>
      </w:r>
      <w:r w:rsidRPr="00F53530">
        <w:rPr>
          <w:rFonts w:ascii="Times New Roman" w:hAnsi="Times New Roman"/>
        </w:rPr>
        <w:t>El impuesto complementario de normalización tributaria se causa por la posesión de activos omitidos o pasivos inexistentes a 1 de enero del año 2020.</w:t>
      </w:r>
    </w:p>
    <w:p w14:paraId="045A3958" w14:textId="77777777" w:rsidR="00040448" w:rsidRPr="00F53530" w:rsidRDefault="00280B8A" w:rsidP="00C44821">
      <w:pPr>
        <w:spacing w:before="240" w:after="240" w:line="240" w:lineRule="auto"/>
        <w:jc w:val="both"/>
        <w:rPr>
          <w:rFonts w:ascii="Times New Roman" w:hAnsi="Times New Roman"/>
        </w:rPr>
      </w:pPr>
      <w:r w:rsidRPr="000B5043">
        <w:rPr>
          <w:rFonts w:ascii="Times New Roman" w:hAnsi="Times New Roman"/>
          <w:b/>
          <w:bCs/>
        </w:rPr>
        <w:t>PARÁGRAFO.</w:t>
      </w:r>
      <w:r w:rsidRPr="00F53530">
        <w:rPr>
          <w:rFonts w:ascii="Times New Roman" w:hAnsi="Times New Roman"/>
        </w:rPr>
        <w:t xml:space="preserve"> </w:t>
      </w:r>
      <w:r w:rsidR="00040448" w:rsidRPr="00F53530">
        <w:rPr>
          <w:rFonts w:ascii="Times New Roman" w:hAnsi="Times New Roman"/>
        </w:rPr>
        <w:t>Para efectos de lo dispuesto en este artículo, se entiende por activos omitidos aquellos que no fueron incluidos en las declaraciones de impuestos nacionales existiendo la obligación legal de hacerlo. Quien tiene la obligación legal de incluir activos omitidos en sus declaraciones de impuestos nacionales es aquel que tiene el aprovechamiento económico, potencial o real, de dichos activos. Se entiende por pasivos inexistentes, aquellos reportados en las declaraciones de impuestos nacionales sin que exista un soporte válido de realidad o validez, con el único fin de aminorar o disminuir la carga tributaria a cargo del contribuyente.</w:t>
      </w:r>
    </w:p>
    <w:p w14:paraId="045A3959" w14:textId="5F5544C4" w:rsidR="00E21802" w:rsidRPr="00E6577C" w:rsidRDefault="00E21802" w:rsidP="00C44821">
      <w:pPr>
        <w:numPr>
          <w:ilvl w:val="0"/>
          <w:numId w:val="6"/>
        </w:numPr>
        <w:spacing w:before="240" w:after="240" w:line="240" w:lineRule="auto"/>
        <w:jc w:val="both"/>
        <w:rPr>
          <w:rFonts w:ascii="Times New Roman" w:hAnsi="Times New Roman"/>
          <w:bCs/>
          <w:highlight w:val="yellow"/>
        </w:rPr>
      </w:pPr>
      <w:hyperlink r:id="rId36" w:history="1">
        <w:r w:rsidRPr="00E6577C">
          <w:rPr>
            <w:rStyle w:val="Hipervnculo"/>
            <w:rFonts w:ascii="Times New Roman" w:hAnsi="Times New Roman"/>
            <w:b/>
            <w:bCs/>
            <w:highlight w:val="yellow"/>
          </w:rPr>
          <w:t>Decreto Único Reglamentario 1625 de 11 de octubre de 2016</w:t>
        </w:r>
      </w:hyperlink>
      <w:r w:rsidRPr="00E6577C">
        <w:rPr>
          <w:rFonts w:ascii="Times New Roman" w:hAnsi="Times New Roman"/>
          <w:b/>
          <w:bCs/>
          <w:highlight w:val="yellow"/>
        </w:rPr>
        <w:t xml:space="preserve">: </w:t>
      </w:r>
      <w:r w:rsidRPr="00E6577C">
        <w:rPr>
          <w:rFonts w:ascii="Times New Roman" w:hAnsi="Times New Roman"/>
          <w:bCs/>
          <w:highlight w:val="yellow"/>
        </w:rPr>
        <w:t xml:space="preserve">Arts. </w:t>
      </w:r>
      <w:r w:rsidRPr="00E6577C">
        <w:rPr>
          <w:rFonts w:ascii="Times New Roman" w:hAnsi="Times New Roman"/>
          <w:highlight w:val="yellow"/>
        </w:rPr>
        <w:t>1.5.7.1 al 1.5.7.6.</w:t>
      </w:r>
    </w:p>
    <w:p w14:paraId="045A395A" w14:textId="77777777" w:rsidR="002F0C63" w:rsidRPr="008D36C3" w:rsidRDefault="002F0C63" w:rsidP="002F0C63">
      <w:pPr>
        <w:spacing w:after="0" w:line="240" w:lineRule="auto"/>
        <w:jc w:val="both"/>
        <w:rPr>
          <w:rFonts w:ascii="Times New Roman" w:hAnsi="Times New Roman"/>
          <w:b/>
          <w:bCs/>
          <w:highlight w:val="lightGray"/>
        </w:rPr>
      </w:pPr>
      <w:r w:rsidRPr="008D36C3">
        <w:rPr>
          <w:rFonts w:ascii="Times New Roman" w:hAnsi="Times New Roman"/>
          <w:b/>
          <w:bCs/>
          <w:highlight w:val="lightGray"/>
        </w:rPr>
        <w:t>DOCTRINA:</w:t>
      </w:r>
    </w:p>
    <w:p w14:paraId="045A395B" w14:textId="51A7D68E" w:rsidR="002F0C63" w:rsidRPr="008D36C3" w:rsidRDefault="002F0C63" w:rsidP="002F0C63">
      <w:pPr>
        <w:numPr>
          <w:ilvl w:val="0"/>
          <w:numId w:val="6"/>
        </w:numPr>
        <w:spacing w:after="0" w:line="240" w:lineRule="auto"/>
        <w:jc w:val="both"/>
        <w:rPr>
          <w:rFonts w:ascii="Times New Roman" w:hAnsi="Times New Roman"/>
          <w:b/>
          <w:bCs/>
          <w:highlight w:val="lightGray"/>
        </w:rPr>
      </w:pPr>
      <w:hyperlink r:id="rId37" w:history="1">
        <w:r w:rsidRPr="008D36C3">
          <w:rPr>
            <w:rStyle w:val="Hipervnculo"/>
            <w:rFonts w:ascii="Times New Roman" w:hAnsi="Times New Roman"/>
            <w:b/>
            <w:bCs/>
            <w:highlight w:val="lightGray"/>
          </w:rPr>
          <w:t>CONCEPTO 905133 DE 24 DE SEPTIEMBRE DE 2020</w:t>
        </w:r>
      </w:hyperlink>
      <w:r w:rsidRPr="008D36C3">
        <w:rPr>
          <w:rFonts w:ascii="Times New Roman" w:hAnsi="Times New Roman"/>
          <w:b/>
          <w:bCs/>
          <w:highlight w:val="lightGray"/>
        </w:rPr>
        <w:t>. DIAN.</w:t>
      </w:r>
      <w:r w:rsidRPr="008D36C3">
        <w:rPr>
          <w:highlight w:val="lightGray"/>
        </w:rPr>
        <w:t xml:space="preserve"> </w:t>
      </w:r>
      <w:r w:rsidRPr="008D36C3">
        <w:rPr>
          <w:rFonts w:ascii="Times New Roman" w:hAnsi="Times New Roman"/>
          <w:bCs/>
          <w:i/>
          <w:highlight w:val="lightGray"/>
        </w:rPr>
        <w:t>Sujeto pasivo del Impuesto de normalización, cuando se está en presencia de una estructura del exterior que involucra una fundación de interés privado.</w:t>
      </w:r>
    </w:p>
    <w:p w14:paraId="045A395C" w14:textId="77777777" w:rsidR="00040448" w:rsidRPr="00F53530" w:rsidRDefault="00040448" w:rsidP="00C44821">
      <w:pPr>
        <w:spacing w:before="240" w:after="240" w:line="240" w:lineRule="auto"/>
        <w:jc w:val="both"/>
        <w:rPr>
          <w:rFonts w:ascii="Times New Roman" w:hAnsi="Times New Roman"/>
        </w:rPr>
      </w:pPr>
      <w:r w:rsidRPr="00B544D1">
        <w:rPr>
          <w:rFonts w:ascii="Times New Roman" w:hAnsi="Times New Roman"/>
          <w:b/>
          <w:bCs/>
        </w:rPr>
        <w:t>ARTÍCULO 55. BASE GRAVABLE.</w:t>
      </w:r>
      <w:r w:rsidR="00B544D1">
        <w:rPr>
          <w:rFonts w:ascii="Times New Roman" w:hAnsi="Times New Roman"/>
          <w:b/>
          <w:bCs/>
        </w:rPr>
        <w:t xml:space="preserve"> </w:t>
      </w:r>
      <w:r w:rsidRPr="00F53530">
        <w:rPr>
          <w:rFonts w:ascii="Times New Roman" w:hAnsi="Times New Roman"/>
        </w:rPr>
        <w:t xml:space="preserve">La base gravable del impuesto complementario de normalización tributaria será el valor del costo fiscal histórico de los activos omitidos determinado conforme a las reglas del Título II del Libro I del </w:t>
      </w:r>
      <w:r w:rsidR="00305570">
        <w:rPr>
          <w:rFonts w:ascii="Times New Roman" w:hAnsi="Times New Roman"/>
        </w:rPr>
        <w:t>*</w:t>
      </w:r>
      <w:r w:rsidRPr="00F53530">
        <w:rPr>
          <w:rFonts w:ascii="Times New Roman" w:hAnsi="Times New Roman"/>
        </w:rPr>
        <w:t xml:space="preserve">Estatuto Tributario o el autoavalúo comercial que establezca el contribuyente con soporte técnico, el cual deberá corresponder, como mínimo, al del costo fiscal de los activos omitidos determinado conforme a las reglas del Título II del Libro I del </w:t>
      </w:r>
      <w:r w:rsidR="00305570">
        <w:rPr>
          <w:rFonts w:ascii="Times New Roman" w:hAnsi="Times New Roman"/>
        </w:rPr>
        <w:t>*</w:t>
      </w:r>
      <w:r w:rsidRPr="00F53530">
        <w:rPr>
          <w:rFonts w:ascii="Times New Roman" w:hAnsi="Times New Roman"/>
        </w:rPr>
        <w:t>Estatuto Tributario.</w:t>
      </w:r>
    </w:p>
    <w:p w14:paraId="045A395D"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La base gravable de los bienes que son objeto del impuesto complementario de normalización tributaria será considerada como el precio de adquisición de dichos bienes para efectos de determinar su costo fiscal. Las estructuras que se hayan creado con el propósito de transferir los activos omitidos, a cualquier título, a entidades con costos fiscales sustancialmente inferiores al costo fiscal de los activos subyacentes, no serán reconocidas y la base gravable se calculará con fundamento en el costo fiscal de los activos subyacentes.</w:t>
      </w:r>
    </w:p>
    <w:p w14:paraId="045A395E"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En el caso de pasivos inexistentes, la base gravable del impuesto complementario de normalización tributaria será el valor fiscal de dichos pasivos inexistentes según lo dispuesto en las normas del Título I del Libro I del </w:t>
      </w:r>
      <w:r w:rsidR="00305570">
        <w:rPr>
          <w:rFonts w:ascii="Times New Roman" w:hAnsi="Times New Roman"/>
        </w:rPr>
        <w:t>*</w:t>
      </w:r>
      <w:r w:rsidRPr="00F53530">
        <w:rPr>
          <w:rFonts w:ascii="Times New Roman" w:hAnsi="Times New Roman"/>
        </w:rPr>
        <w:t>Estatuto Tributario o el valor reportado en la última declaración de renta.</w:t>
      </w:r>
    </w:p>
    <w:p w14:paraId="045A395F" w14:textId="77777777" w:rsidR="00040448" w:rsidRPr="00F53530" w:rsidRDefault="00280B8A" w:rsidP="00C44821">
      <w:pPr>
        <w:spacing w:before="240" w:after="240" w:line="240" w:lineRule="auto"/>
        <w:jc w:val="both"/>
        <w:rPr>
          <w:rFonts w:ascii="Times New Roman" w:hAnsi="Times New Roman"/>
        </w:rPr>
      </w:pPr>
      <w:r w:rsidRPr="00B544D1">
        <w:rPr>
          <w:rFonts w:ascii="Times New Roman" w:hAnsi="Times New Roman"/>
          <w:b/>
          <w:bCs/>
        </w:rPr>
        <w:t>PARÁGRAFO 1.</w:t>
      </w:r>
      <w:r w:rsidRPr="00F53530">
        <w:rPr>
          <w:rFonts w:ascii="Times New Roman" w:hAnsi="Times New Roman"/>
        </w:rPr>
        <w:t xml:space="preserve"> </w:t>
      </w:r>
      <w:r w:rsidR="00040448" w:rsidRPr="00F53530">
        <w:rPr>
          <w:rFonts w:ascii="Times New Roman" w:hAnsi="Times New Roman"/>
        </w:rPr>
        <w:t xml:space="preserve">Para efectos del nuevo impuesto de normalización tributaria, las fundaciones de interés privado del exterior, trusts del exterior, seguro con componente de ahorro material, fondo de inversión o cualquier otro negocio fiduciario del exterior se asimilan a derechos fiduciarios poseídos en Colombia y se encuentran sujetas al nuevo impuesto de normalización tributaria. En consecuencia, su valor patrimonial se determinará con base en el costo fiscal histórico de los activos omitidos determinados conforme a las reglas del Título II del Libro I del </w:t>
      </w:r>
      <w:r w:rsidR="00305570">
        <w:rPr>
          <w:rFonts w:ascii="Times New Roman" w:hAnsi="Times New Roman"/>
        </w:rPr>
        <w:t>*</w:t>
      </w:r>
      <w:r w:rsidR="00040448" w:rsidRPr="00F53530">
        <w:rPr>
          <w:rFonts w:ascii="Times New Roman" w:hAnsi="Times New Roman"/>
        </w:rPr>
        <w:t>Estatuto Tributario o el autoavalúo comercial que establezca el contribuyente con soporte técnico y para el cálculo de su costo fiscal se aplicará el principio de transparencia fiscal en referencia a los activos subyacentes.</w:t>
      </w:r>
    </w:p>
    <w:p w14:paraId="045A3960"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lastRenderedPageBreak/>
        <w:t>Para todos los efectos del impuesto sobre la renta, regímenes sustitutivos del impuesto sobre la renta, el impuesto al patrimonio y el complementario de normalización tributaria, cuando los beneficiarios estén condicionados o no tengan control o disposición de los activos, el declarante será el fundador, constituyente u originario del patrimonio transferido a la fundación de interés privado del exterior, trust del exterior, seguro con componente de ahorro material, fondo de inversión o cualquier otro negocio fiduciario. Lo anterior sin consideración de la calidad de discrecional, revocable o irrevocable y sin consideración de las facultades del protector, asesor de inversiones, comité de inversiones o poderes irrevocables otorgados a favor del fiduciario o de un tercero. En caso del fallecimiento del fundador, constituyente u originario, la sucesión ilíquida será el declarante de dichos activos, hasta el momento en que los beneficiarios reciban los activos, para lo cual las sociedades intermedias creadas para estos propósitos no serán reconocidas para fines fiscales.</w:t>
      </w:r>
    </w:p>
    <w:p w14:paraId="045A3961" w14:textId="77777777" w:rsidR="00040448" w:rsidRPr="00F53530" w:rsidRDefault="00280B8A" w:rsidP="00C44821">
      <w:pPr>
        <w:spacing w:before="240" w:after="240" w:line="240" w:lineRule="auto"/>
        <w:jc w:val="both"/>
        <w:rPr>
          <w:rFonts w:ascii="Times New Roman" w:hAnsi="Times New Roman"/>
        </w:rPr>
      </w:pPr>
      <w:r w:rsidRPr="00B544D1">
        <w:rPr>
          <w:rFonts w:ascii="Times New Roman" w:hAnsi="Times New Roman"/>
          <w:b/>
          <w:bCs/>
        </w:rPr>
        <w:t xml:space="preserve">PARÁGRAFO 2. </w:t>
      </w:r>
      <w:r w:rsidR="00040448" w:rsidRPr="00F53530">
        <w:rPr>
          <w:rFonts w:ascii="Times New Roman" w:hAnsi="Times New Roman"/>
        </w:rPr>
        <w:t>Cuando los contribuyentes tomen como base gravable el valor de mercado de los activos omitidos del exterior y, antes del 31 de diciembre de 2020, repatríen efectivamente los recursos omitidos del exterior a Colombia y los inviertan con vocación de permanencia en el país, la base gravable del impuesto complementario de normalización tributaria corresponderá al 50% de dichos recursos omitidos.</w:t>
      </w:r>
    </w:p>
    <w:p w14:paraId="045A3962" w14:textId="77777777" w:rsidR="00040448" w:rsidRDefault="00040448" w:rsidP="00C44821">
      <w:pPr>
        <w:spacing w:before="240" w:after="240" w:line="240" w:lineRule="auto"/>
        <w:jc w:val="both"/>
        <w:rPr>
          <w:rFonts w:ascii="Times New Roman" w:hAnsi="Times New Roman"/>
        </w:rPr>
      </w:pPr>
      <w:r w:rsidRPr="00F53530">
        <w:rPr>
          <w:rFonts w:ascii="Times New Roman" w:hAnsi="Times New Roman"/>
        </w:rPr>
        <w:t>Se entiende que hay vocación de permanencia cuando los recursos omitidos del exterior repatriados e invertidos en Colombia, permanecen efectivamente en el país por un periodo no inferior a dos (2) años, contados a partir del vencimiento del plazo de que trata el inciso anterior.</w:t>
      </w:r>
    </w:p>
    <w:p w14:paraId="045A3963" w14:textId="77777777" w:rsidR="00305570" w:rsidRPr="00F53530" w:rsidRDefault="00305570"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64" w14:textId="72763B07" w:rsidR="00E6577C" w:rsidRPr="00E6577C" w:rsidRDefault="00E6577C" w:rsidP="00C44821">
      <w:pPr>
        <w:numPr>
          <w:ilvl w:val="0"/>
          <w:numId w:val="6"/>
        </w:numPr>
        <w:spacing w:before="240" w:after="240" w:line="240" w:lineRule="auto"/>
        <w:jc w:val="both"/>
        <w:rPr>
          <w:rFonts w:ascii="Times New Roman" w:hAnsi="Times New Roman"/>
          <w:bCs/>
          <w:highlight w:val="yellow"/>
        </w:rPr>
      </w:pPr>
      <w:hyperlink r:id="rId38" w:history="1">
        <w:r w:rsidRPr="00E6577C">
          <w:rPr>
            <w:rStyle w:val="Hipervnculo"/>
            <w:rFonts w:ascii="Times New Roman" w:hAnsi="Times New Roman"/>
            <w:b/>
            <w:bCs/>
            <w:highlight w:val="yellow"/>
          </w:rPr>
          <w:t>Decreto Único Reglamentario 1625 de 11 de octubre de 2016</w:t>
        </w:r>
      </w:hyperlink>
      <w:r w:rsidRPr="00E6577C">
        <w:rPr>
          <w:rFonts w:ascii="Times New Roman" w:hAnsi="Times New Roman"/>
          <w:b/>
          <w:bCs/>
          <w:highlight w:val="yellow"/>
        </w:rPr>
        <w:t xml:space="preserve">: </w:t>
      </w:r>
      <w:r w:rsidRPr="00E6577C">
        <w:rPr>
          <w:rFonts w:ascii="Times New Roman" w:hAnsi="Times New Roman"/>
          <w:bCs/>
          <w:highlight w:val="yellow"/>
        </w:rPr>
        <w:t xml:space="preserve">Arts. </w:t>
      </w:r>
      <w:r w:rsidRPr="00E6577C">
        <w:rPr>
          <w:rFonts w:ascii="Times New Roman" w:hAnsi="Times New Roman"/>
          <w:highlight w:val="yellow"/>
        </w:rPr>
        <w:t>1.5.7.1 al 1.5.7.6.</w:t>
      </w:r>
    </w:p>
    <w:p w14:paraId="045A3965" w14:textId="77777777" w:rsidR="002F0C63" w:rsidRPr="008D36C3" w:rsidRDefault="002F0C63" w:rsidP="002F0C63">
      <w:pPr>
        <w:spacing w:after="0" w:line="240" w:lineRule="auto"/>
        <w:jc w:val="both"/>
        <w:rPr>
          <w:rFonts w:ascii="Times New Roman" w:hAnsi="Times New Roman"/>
          <w:b/>
          <w:bCs/>
          <w:highlight w:val="lightGray"/>
        </w:rPr>
      </w:pPr>
      <w:r w:rsidRPr="008D36C3">
        <w:rPr>
          <w:rFonts w:ascii="Times New Roman" w:hAnsi="Times New Roman"/>
          <w:b/>
          <w:bCs/>
          <w:highlight w:val="lightGray"/>
        </w:rPr>
        <w:t>DOCTRINA:</w:t>
      </w:r>
    </w:p>
    <w:p w14:paraId="045A3966" w14:textId="52A8B3CC" w:rsidR="00421E03" w:rsidRPr="008D36C3" w:rsidRDefault="00421E03" w:rsidP="00421E03">
      <w:pPr>
        <w:numPr>
          <w:ilvl w:val="0"/>
          <w:numId w:val="6"/>
        </w:numPr>
        <w:spacing w:after="0" w:line="240" w:lineRule="auto"/>
        <w:jc w:val="both"/>
        <w:rPr>
          <w:rFonts w:ascii="Times New Roman" w:hAnsi="Times New Roman"/>
          <w:b/>
          <w:highlight w:val="lightGray"/>
        </w:rPr>
      </w:pPr>
      <w:hyperlink r:id="rId39" w:history="1">
        <w:r w:rsidRPr="008D36C3">
          <w:rPr>
            <w:rStyle w:val="Hipervnculo"/>
            <w:rFonts w:ascii="Times New Roman" w:hAnsi="Times New Roman"/>
            <w:b/>
            <w:highlight w:val="lightGray"/>
          </w:rPr>
          <w:t>CONCEPTO 909037 DE 1 DE SEPTIEMBRE DE 2021</w:t>
        </w:r>
      </w:hyperlink>
      <w:r w:rsidRPr="008D36C3">
        <w:rPr>
          <w:rFonts w:ascii="Times New Roman" w:hAnsi="Times New Roman"/>
          <w:b/>
          <w:highlight w:val="lightGray"/>
        </w:rPr>
        <w:t>. DIAN.</w:t>
      </w:r>
      <w:r w:rsidRPr="008D36C3">
        <w:rPr>
          <w:highlight w:val="lightGray"/>
        </w:rPr>
        <w:t xml:space="preserve"> </w:t>
      </w:r>
      <w:r w:rsidRPr="008D36C3">
        <w:rPr>
          <w:rFonts w:ascii="Times New Roman" w:hAnsi="Times New Roman"/>
          <w:i/>
          <w:highlight w:val="lightGray"/>
        </w:rPr>
        <w:t>El tipo de acto administrativo que se profiere como respuesta a la solicitud de habilitación del formulario de la declaración del Impuesto de Normalización Tributaria, será uno de trámite.</w:t>
      </w:r>
    </w:p>
    <w:p w14:paraId="045A3967" w14:textId="77777777" w:rsidR="00421E03" w:rsidRPr="008D36C3" w:rsidRDefault="00421E03" w:rsidP="00421E03">
      <w:pPr>
        <w:spacing w:after="0" w:line="240" w:lineRule="auto"/>
        <w:ind w:left="720"/>
        <w:jc w:val="both"/>
        <w:rPr>
          <w:rFonts w:ascii="Times New Roman" w:hAnsi="Times New Roman"/>
          <w:b/>
          <w:highlight w:val="lightGray"/>
        </w:rPr>
      </w:pPr>
    </w:p>
    <w:p w14:paraId="045A3968" w14:textId="500A3E4F" w:rsidR="00BA14DF" w:rsidRPr="008D36C3" w:rsidRDefault="00BA14DF" w:rsidP="00BA14DF">
      <w:pPr>
        <w:numPr>
          <w:ilvl w:val="0"/>
          <w:numId w:val="6"/>
        </w:numPr>
        <w:spacing w:after="0" w:line="240" w:lineRule="auto"/>
        <w:jc w:val="both"/>
        <w:rPr>
          <w:rFonts w:ascii="Times New Roman" w:hAnsi="Times New Roman"/>
          <w:b/>
          <w:highlight w:val="lightGray"/>
        </w:rPr>
      </w:pPr>
      <w:hyperlink r:id="rId40" w:history="1">
        <w:r w:rsidRPr="008D36C3">
          <w:rPr>
            <w:rStyle w:val="Hipervnculo"/>
            <w:rFonts w:ascii="Times New Roman" w:hAnsi="Times New Roman"/>
            <w:b/>
            <w:highlight w:val="lightGray"/>
          </w:rPr>
          <w:t>CONCEPTO 906392 DE 23 DE OCTUBRE DE 2020</w:t>
        </w:r>
      </w:hyperlink>
      <w:r w:rsidRPr="008D36C3">
        <w:rPr>
          <w:rFonts w:ascii="Times New Roman" w:hAnsi="Times New Roman"/>
          <w:b/>
          <w:highlight w:val="lightGray"/>
        </w:rPr>
        <w:t xml:space="preserve">. DIAN. </w:t>
      </w:r>
      <w:r w:rsidRPr="008D36C3">
        <w:rPr>
          <w:rFonts w:ascii="Times New Roman" w:hAnsi="Times New Roman"/>
          <w:i/>
          <w:highlight w:val="lightGray"/>
        </w:rPr>
        <w:t>Determinación de la obligación de declarar cuentas bancarias en el exterior cuando existen dos titulares del activo.</w:t>
      </w:r>
    </w:p>
    <w:p w14:paraId="045A3969" w14:textId="77777777" w:rsidR="00BA14DF" w:rsidRPr="008D36C3" w:rsidRDefault="00BA14DF" w:rsidP="00BA14DF">
      <w:pPr>
        <w:spacing w:after="0" w:line="240" w:lineRule="auto"/>
        <w:ind w:left="720"/>
        <w:jc w:val="both"/>
        <w:rPr>
          <w:rFonts w:ascii="Times New Roman" w:hAnsi="Times New Roman"/>
          <w:b/>
          <w:bCs/>
          <w:highlight w:val="lightGray"/>
        </w:rPr>
      </w:pPr>
    </w:p>
    <w:p w14:paraId="045A396A" w14:textId="34E7A910" w:rsidR="002F0C63" w:rsidRPr="008D36C3" w:rsidRDefault="002F0C63" w:rsidP="002F0C63">
      <w:pPr>
        <w:numPr>
          <w:ilvl w:val="0"/>
          <w:numId w:val="6"/>
        </w:numPr>
        <w:spacing w:after="0" w:line="240" w:lineRule="auto"/>
        <w:jc w:val="both"/>
        <w:rPr>
          <w:rFonts w:ascii="Times New Roman" w:hAnsi="Times New Roman"/>
          <w:b/>
          <w:bCs/>
          <w:highlight w:val="lightGray"/>
        </w:rPr>
      </w:pPr>
      <w:hyperlink r:id="rId41" w:history="1">
        <w:r w:rsidRPr="008D36C3">
          <w:rPr>
            <w:rStyle w:val="Hipervnculo"/>
            <w:rFonts w:ascii="Times New Roman" w:hAnsi="Times New Roman"/>
            <w:b/>
            <w:bCs/>
            <w:highlight w:val="lightGray"/>
          </w:rPr>
          <w:t>CONCEPTO 905133 DE 24 DE SEPTIEMBRE DE 2020</w:t>
        </w:r>
      </w:hyperlink>
      <w:r w:rsidRPr="008D36C3">
        <w:rPr>
          <w:rFonts w:ascii="Times New Roman" w:hAnsi="Times New Roman"/>
          <w:b/>
          <w:bCs/>
          <w:highlight w:val="lightGray"/>
        </w:rPr>
        <w:t>. DIAN.</w:t>
      </w:r>
      <w:r w:rsidRPr="008D36C3">
        <w:rPr>
          <w:highlight w:val="lightGray"/>
        </w:rPr>
        <w:t xml:space="preserve"> </w:t>
      </w:r>
      <w:r w:rsidRPr="008D36C3">
        <w:rPr>
          <w:rFonts w:ascii="Times New Roman" w:hAnsi="Times New Roman"/>
          <w:bCs/>
          <w:i/>
          <w:highlight w:val="lightGray"/>
        </w:rPr>
        <w:t>Sujeto pasivo del Impuesto de normalización, cuando se está en presencia de una estructura del exterior que involucra una fundación de interés privado.</w:t>
      </w:r>
    </w:p>
    <w:p w14:paraId="045A396B" w14:textId="77777777" w:rsidR="00040448" w:rsidRPr="00F53530" w:rsidRDefault="00040448" w:rsidP="00C44821">
      <w:pPr>
        <w:spacing w:before="240" w:after="240" w:line="240" w:lineRule="auto"/>
        <w:jc w:val="both"/>
        <w:rPr>
          <w:rFonts w:ascii="Times New Roman" w:hAnsi="Times New Roman"/>
        </w:rPr>
      </w:pPr>
      <w:r w:rsidRPr="00B544D1">
        <w:rPr>
          <w:rFonts w:ascii="Times New Roman" w:hAnsi="Times New Roman"/>
          <w:b/>
          <w:bCs/>
        </w:rPr>
        <w:t>ARTÍCULO 56. TARIFA.</w:t>
      </w:r>
      <w:r w:rsidR="00B544D1">
        <w:rPr>
          <w:rFonts w:ascii="Times New Roman" w:hAnsi="Times New Roman"/>
          <w:b/>
          <w:bCs/>
        </w:rPr>
        <w:t xml:space="preserve"> </w:t>
      </w:r>
      <w:r w:rsidRPr="00F53530">
        <w:rPr>
          <w:rFonts w:ascii="Times New Roman" w:hAnsi="Times New Roman"/>
        </w:rPr>
        <w:t>La tarifa del impuesto complementario de normalización tributaria será la del 15%.</w:t>
      </w:r>
    </w:p>
    <w:p w14:paraId="045A396C" w14:textId="77777777" w:rsidR="00040448" w:rsidRPr="00F53530" w:rsidRDefault="00040448" w:rsidP="00C44821">
      <w:pPr>
        <w:spacing w:before="240" w:after="240" w:line="240" w:lineRule="auto"/>
        <w:jc w:val="both"/>
        <w:rPr>
          <w:rFonts w:ascii="Times New Roman" w:hAnsi="Times New Roman"/>
        </w:rPr>
      </w:pPr>
      <w:r w:rsidRPr="00B544D1">
        <w:rPr>
          <w:rFonts w:ascii="Times New Roman" w:hAnsi="Times New Roman"/>
          <w:b/>
          <w:bCs/>
        </w:rPr>
        <w:t>ARTÍCULO 57. NO HABRÁ LUGAR A LA COMPARACIÓN PATRIMONIAL NI A RENTA LÍQUIDA GRAVABLE POR CONCEPTO DE DECLARACIÓN DE ACTIVOS OMITIDOS O PASIVOS INEXISTENTES.</w:t>
      </w:r>
      <w:r w:rsidR="00B544D1">
        <w:rPr>
          <w:rFonts w:ascii="Times New Roman" w:hAnsi="Times New Roman"/>
          <w:b/>
          <w:bCs/>
        </w:rPr>
        <w:t xml:space="preserve"> </w:t>
      </w:r>
      <w:r w:rsidRPr="00F53530">
        <w:rPr>
          <w:rFonts w:ascii="Times New Roman" w:hAnsi="Times New Roman"/>
        </w:rPr>
        <w:t xml:space="preserve">Los activos del contribuyente que sean objeto del impuesto complementario de normalización tributaria deberán incluirse para efectos patrimoniales en la declaración del impuesto sobre la renta y complementarios o de regímenes sustitutivos del impuesto sobre la renta, según corresponda, y en la declaración anual de activos en el exterior del año gravable 2020 y de los años siguientes cuando haya lugar a ello y dejarán de considerarse activos omitidos. El </w:t>
      </w:r>
      <w:r w:rsidRPr="00F53530">
        <w:rPr>
          <w:rFonts w:ascii="Times New Roman" w:hAnsi="Times New Roman"/>
        </w:rPr>
        <w:lastRenderedPageBreak/>
        <w:t>incremento patrimonial que pueda generarse por concepto de lo dispuesto en esta norma no dará lugar a la determinación de renta gravable por el sistema de comparación patrimonial, ni generará renta líquida gravable por activos omitidos en el año en que se declaren ni en los años anteriores respecto de las declaraciones del impuesto sobre la renta y complementarios. Esta inclusión no generará sanción alguna en el impuesto sobre la renta y complementarios, regímenes sustitutivos del impuesto sobre la renta, ni en el impuesto sobre la ventas -IVA, ni en materia del régimen de precios de transferencia ni en materia de información exógena, ni en materia de declaración anual de activos en el exterior.</w:t>
      </w:r>
    </w:p>
    <w:p w14:paraId="045A396D"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Tampoco generará acción penal por la omisión de activos omitidos o pasivos inexistentes, que hayan quedado sujetos al nuevo impuesto complementario de normalización tributaria.</w:t>
      </w:r>
    </w:p>
    <w:p w14:paraId="045A396E" w14:textId="194907D6" w:rsidR="00040448" w:rsidRPr="00F53530" w:rsidRDefault="00280B8A" w:rsidP="00C44821">
      <w:pPr>
        <w:spacing w:before="240" w:after="240" w:line="240" w:lineRule="auto"/>
        <w:jc w:val="both"/>
        <w:rPr>
          <w:rFonts w:ascii="Times New Roman" w:hAnsi="Times New Roman"/>
        </w:rPr>
      </w:pPr>
      <w:r w:rsidRPr="00B544D1">
        <w:rPr>
          <w:rFonts w:ascii="Times New Roman" w:hAnsi="Times New Roman"/>
          <w:b/>
          <w:bCs/>
        </w:rPr>
        <w:t>PARÁGRAFO.</w:t>
      </w:r>
      <w:r w:rsidR="00A03C6F" w:rsidRPr="00B544D1">
        <w:rPr>
          <w:rFonts w:ascii="Times New Roman" w:hAnsi="Times New Roman"/>
          <w:b/>
          <w:bCs/>
        </w:rPr>
        <w:t xml:space="preserve"> </w:t>
      </w:r>
      <w:r w:rsidR="00040448" w:rsidRPr="00F53530">
        <w:rPr>
          <w:rFonts w:ascii="Times New Roman" w:hAnsi="Times New Roman"/>
        </w:rPr>
        <w:t xml:space="preserve">El registro extemporáneo ante el Banco de la República de las inversiones financieras y en activos en el exterior y sus movimientos de que trata el régimen de cambios internacionales expedido por la Junta Directiva del Banco de la República en ejercicio de los literales h) e i) del artículo 16 de la </w:t>
      </w:r>
      <w:hyperlink r:id="rId42" w:history="1">
        <w:r w:rsidR="00040448" w:rsidRPr="009D2823">
          <w:rPr>
            <w:rStyle w:val="Hipervnculo"/>
            <w:rFonts w:ascii="Times New Roman" w:hAnsi="Times New Roman"/>
          </w:rPr>
          <w:t>Ley 31 de 1992</w:t>
        </w:r>
      </w:hyperlink>
      <w:r w:rsidR="00040448" w:rsidRPr="00F53530">
        <w:rPr>
          <w:rFonts w:ascii="Times New Roman" w:hAnsi="Times New Roman"/>
        </w:rPr>
        <w:t xml:space="preserve"> y de la inversión de capital colombiano en el exterior y sus movimientos, de que trata el régimen de inversiones internacionales expedido por el Gobierno nacional en ejercicio del artículo 15 de la </w:t>
      </w:r>
      <w:hyperlink r:id="rId43" w:history="1">
        <w:r w:rsidR="00040448" w:rsidRPr="009D2823">
          <w:rPr>
            <w:rStyle w:val="Hipervnculo"/>
            <w:rFonts w:ascii="Times New Roman" w:hAnsi="Times New Roman"/>
          </w:rPr>
          <w:t>Ley 9 de 1991</w:t>
        </w:r>
      </w:hyperlink>
      <w:r w:rsidR="00040448" w:rsidRPr="00F53530">
        <w:rPr>
          <w:rFonts w:ascii="Times New Roman" w:hAnsi="Times New Roman"/>
        </w:rPr>
        <w:t>, objeto del impuesto complementario de normalización tributaria, no generará infracción cambiaria. Para efectos de lo anterior, en la presentación de la solicitud de registro ante el Banco de la República de dichos activos se deberá indicar el número de radicación o de autoadhesivo de la declaración tributaria del impuesto de normalización tributaria en la que fueron incluidos.</w:t>
      </w:r>
    </w:p>
    <w:p w14:paraId="045A396F" w14:textId="77777777" w:rsidR="00040448" w:rsidRPr="00F53530" w:rsidRDefault="00040448" w:rsidP="00C44821">
      <w:pPr>
        <w:spacing w:before="240" w:after="240" w:line="240" w:lineRule="auto"/>
        <w:jc w:val="both"/>
        <w:rPr>
          <w:rFonts w:ascii="Times New Roman" w:hAnsi="Times New Roman"/>
        </w:rPr>
      </w:pPr>
      <w:r w:rsidRPr="00B544D1">
        <w:rPr>
          <w:rFonts w:ascii="Times New Roman" w:hAnsi="Times New Roman"/>
          <w:b/>
          <w:bCs/>
        </w:rPr>
        <w:t>ARTÍCULO 58. NO LEGALIZACIÓN.</w:t>
      </w:r>
      <w:r w:rsidR="00B544D1">
        <w:rPr>
          <w:rFonts w:ascii="Times New Roman" w:hAnsi="Times New Roman"/>
          <w:b/>
          <w:bCs/>
        </w:rPr>
        <w:t xml:space="preserve"> </w:t>
      </w:r>
      <w:r w:rsidRPr="00F53530">
        <w:rPr>
          <w:rFonts w:ascii="Times New Roman" w:hAnsi="Times New Roman"/>
        </w:rPr>
        <w:t>La normalización tributaria de los activos a la que se refiere la presente ley no implica la legalización de los activos cuyo origen fuere ilícito o estuvieren relacionados, directa o indirectamente, con el lavado de activos o la financiación del terrorismo.</w:t>
      </w:r>
    </w:p>
    <w:p w14:paraId="045A3970" w14:textId="77777777" w:rsidR="00040448" w:rsidRDefault="00040448" w:rsidP="00C44821">
      <w:pPr>
        <w:spacing w:before="240" w:after="240" w:line="240" w:lineRule="auto"/>
        <w:jc w:val="both"/>
        <w:rPr>
          <w:rFonts w:ascii="Times New Roman" w:hAnsi="Times New Roman"/>
        </w:rPr>
      </w:pPr>
      <w:r w:rsidRPr="00F53530">
        <w:rPr>
          <w:rFonts w:ascii="Times New Roman" w:hAnsi="Times New Roman"/>
        </w:rPr>
        <w:t xml:space="preserve">La normalización de activos realizada en cualquier tiempo no dará lugar, en ningún caso, a la persecución fiscal o penal, a menos que se acredite el origen ilícito de los recursos por cualquiera de los delitos contemplados en el </w:t>
      </w:r>
      <w:r w:rsidR="004C339F">
        <w:rPr>
          <w:rFonts w:ascii="Times New Roman" w:hAnsi="Times New Roman"/>
        </w:rPr>
        <w:t>*</w:t>
      </w:r>
      <w:r w:rsidRPr="00F53530">
        <w:rPr>
          <w:rFonts w:ascii="Times New Roman" w:hAnsi="Times New Roman"/>
        </w:rPr>
        <w:t>Código Penal.</w:t>
      </w:r>
    </w:p>
    <w:p w14:paraId="045A3971" w14:textId="77777777" w:rsidR="00805988" w:rsidRPr="00F53530" w:rsidRDefault="00805988"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w:t>
      </w:r>
      <w:r>
        <w:rPr>
          <w:rFonts w:ascii="Times New Roman" w:hAnsi="Times New Roman"/>
          <w:highlight w:val="green"/>
        </w:rPr>
        <w:t>al Código Penal</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045A3972" w14:textId="5FC2EE23" w:rsidR="00040448" w:rsidRPr="00F53530" w:rsidRDefault="00040448" w:rsidP="00C44821">
      <w:pPr>
        <w:spacing w:before="240" w:after="240" w:line="240" w:lineRule="auto"/>
        <w:jc w:val="both"/>
        <w:rPr>
          <w:rFonts w:ascii="Times New Roman" w:hAnsi="Times New Roman"/>
        </w:rPr>
      </w:pPr>
      <w:r w:rsidRPr="00B544D1">
        <w:rPr>
          <w:rFonts w:ascii="Times New Roman" w:hAnsi="Times New Roman"/>
          <w:b/>
          <w:bCs/>
        </w:rPr>
        <w:t>ARTÍCULO 59. SANEAMIENTO DE ACTIVOS.</w:t>
      </w:r>
      <w:r w:rsidR="00B544D1">
        <w:rPr>
          <w:rFonts w:ascii="Times New Roman" w:hAnsi="Times New Roman"/>
          <w:b/>
          <w:bCs/>
        </w:rPr>
        <w:t xml:space="preserve"> </w:t>
      </w:r>
      <w:r w:rsidRPr="00F53530">
        <w:rPr>
          <w:rFonts w:ascii="Times New Roman" w:hAnsi="Times New Roman"/>
        </w:rPr>
        <w:t xml:space="preserve">Cuando los contribuyentes tengan declarados sus activos diferentes a inventarios, objeto de las normalizaciones tributarias consagradas en la </w:t>
      </w:r>
      <w:hyperlink r:id="rId44" w:history="1">
        <w:r w:rsidRPr="009D2823">
          <w:rPr>
            <w:rStyle w:val="Hipervnculo"/>
            <w:rFonts w:ascii="Times New Roman" w:hAnsi="Times New Roman"/>
          </w:rPr>
          <w:t>Ley 1739 de 2014</w:t>
        </w:r>
      </w:hyperlink>
      <w:r w:rsidRPr="00F53530">
        <w:rPr>
          <w:rFonts w:ascii="Times New Roman" w:hAnsi="Times New Roman"/>
        </w:rPr>
        <w:t xml:space="preserve"> o en la </w:t>
      </w:r>
      <w:hyperlink r:id="rId45" w:history="1">
        <w:r w:rsidRPr="00FB68BE">
          <w:rPr>
            <w:rStyle w:val="Hipervnculo"/>
            <w:rFonts w:ascii="Times New Roman" w:hAnsi="Times New Roman"/>
          </w:rPr>
          <w:t>Ley 1943 de 2018</w:t>
        </w:r>
      </w:hyperlink>
      <w:r w:rsidRPr="00F53530">
        <w:rPr>
          <w:rFonts w:ascii="Times New Roman" w:hAnsi="Times New Roman"/>
        </w:rPr>
        <w:t>, por un valor inferior al de mercado, podrán actualizar su valor incluyendo las sumas adicionales como base gravable del impuesto de normalización.</w:t>
      </w:r>
    </w:p>
    <w:p w14:paraId="045A3973" w14:textId="77777777" w:rsidR="00040448" w:rsidRPr="00F53530" w:rsidRDefault="00040448" w:rsidP="00C44821">
      <w:pPr>
        <w:spacing w:before="240" w:after="240" w:line="240" w:lineRule="auto"/>
        <w:jc w:val="both"/>
        <w:rPr>
          <w:rFonts w:ascii="Times New Roman" w:hAnsi="Times New Roman"/>
        </w:rPr>
      </w:pPr>
      <w:r w:rsidRPr="00B544D1">
        <w:rPr>
          <w:rFonts w:ascii="Times New Roman" w:hAnsi="Times New Roman"/>
          <w:b/>
          <w:bCs/>
        </w:rPr>
        <w:t>ARTÍCULO 60. NORMAS DE PROCEDIMIENTO.</w:t>
      </w:r>
      <w:r w:rsidR="00B544D1">
        <w:rPr>
          <w:rFonts w:ascii="Times New Roman" w:hAnsi="Times New Roman"/>
          <w:b/>
          <w:bCs/>
        </w:rPr>
        <w:t xml:space="preserve"> </w:t>
      </w:r>
      <w:r w:rsidRPr="00F53530">
        <w:rPr>
          <w:rFonts w:ascii="Times New Roman" w:hAnsi="Times New Roman"/>
        </w:rPr>
        <w:t>El nuevo impuesto complementario de normalización tributaria se somete a las normas sobre declaración, pago, administración y control contempladas en los artículos 298</w:t>
      </w:r>
      <w:r w:rsidR="009F6554" w:rsidRPr="00F53530">
        <w:rPr>
          <w:rFonts w:ascii="Times New Roman" w:hAnsi="Times New Roman"/>
        </w:rPr>
        <w:t>,</w:t>
      </w:r>
      <w:r w:rsidRPr="00F53530">
        <w:rPr>
          <w:rFonts w:ascii="Times New Roman" w:hAnsi="Times New Roman"/>
        </w:rPr>
        <w:t xml:space="preserve"> 298-1</w:t>
      </w:r>
      <w:r w:rsidR="009F6554" w:rsidRPr="00F53530">
        <w:rPr>
          <w:rFonts w:ascii="Times New Roman" w:hAnsi="Times New Roman"/>
        </w:rPr>
        <w:t>,</w:t>
      </w:r>
      <w:r w:rsidRPr="00F53530">
        <w:rPr>
          <w:rFonts w:ascii="Times New Roman" w:hAnsi="Times New Roman"/>
        </w:rPr>
        <w:t xml:space="preserve"> 298-2 y demás disposiciones concordantes del </w:t>
      </w:r>
      <w:r w:rsidR="000F3ADC">
        <w:rPr>
          <w:rFonts w:ascii="Times New Roman" w:hAnsi="Times New Roman"/>
        </w:rPr>
        <w:t>*</w:t>
      </w:r>
      <w:r w:rsidRPr="00F53530">
        <w:rPr>
          <w:rFonts w:ascii="Times New Roman" w:hAnsi="Times New Roman"/>
        </w:rPr>
        <w:t>Estatuto Tributario, que sean compatibles con la naturaleza del impuesto complementario de normalización tributaria.</w:t>
      </w:r>
    </w:p>
    <w:p w14:paraId="045A3974"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El impuesto complementario de normalización se declarará, liquidará y pagará en una declaración independiente, que será presentada hasta el 25 de septiembre de 2020. Dicha declaración no permite corrección o presentación extemporánea por parte de los contribuyentes.</w:t>
      </w:r>
    </w:p>
    <w:p w14:paraId="045A3975" w14:textId="77777777" w:rsidR="00040448" w:rsidRDefault="00280B8A" w:rsidP="00C44821">
      <w:pPr>
        <w:spacing w:before="240" w:after="240" w:line="240" w:lineRule="auto"/>
        <w:jc w:val="both"/>
        <w:rPr>
          <w:rFonts w:ascii="Times New Roman" w:hAnsi="Times New Roman"/>
        </w:rPr>
      </w:pPr>
      <w:r w:rsidRPr="00B544D1">
        <w:rPr>
          <w:rFonts w:ascii="Times New Roman" w:hAnsi="Times New Roman"/>
          <w:b/>
          <w:bCs/>
        </w:rPr>
        <w:lastRenderedPageBreak/>
        <w:t>PARÁGRAFO 1.</w:t>
      </w:r>
      <w:r w:rsidRPr="00F53530">
        <w:rPr>
          <w:rFonts w:ascii="Times New Roman" w:hAnsi="Times New Roman"/>
        </w:rPr>
        <w:t xml:space="preserve"> </w:t>
      </w:r>
      <w:r w:rsidR="00040448" w:rsidRPr="00F53530">
        <w:rPr>
          <w:rFonts w:ascii="Times New Roman" w:hAnsi="Times New Roman"/>
        </w:rPr>
        <w:t xml:space="preserve">Sin perjuicio de las acciones penales a que haya lugar, la Dirección de Impuestos y Aduanas Nacionales (DIAN) tiene la facultad de desconocer toda operación o serie de operaciones cuyo propósito sea eludir la aplicación de las disposiciones de que trata este capítulo de la presente ley, de conformidad con el artículo 869 y siguientes del </w:t>
      </w:r>
      <w:r w:rsidR="000F3ADC">
        <w:rPr>
          <w:rFonts w:ascii="Times New Roman" w:hAnsi="Times New Roman"/>
        </w:rPr>
        <w:t>*</w:t>
      </w:r>
      <w:r w:rsidR="00040448" w:rsidRPr="00F53530">
        <w:rPr>
          <w:rFonts w:ascii="Times New Roman" w:hAnsi="Times New Roman"/>
        </w:rPr>
        <w:t>Estatuto Tributario.</w:t>
      </w:r>
    </w:p>
    <w:p w14:paraId="045A3976" w14:textId="7AAE780C" w:rsidR="00040448" w:rsidRDefault="00280B8A" w:rsidP="00C44821">
      <w:pPr>
        <w:spacing w:before="240" w:after="240" w:line="240" w:lineRule="auto"/>
        <w:jc w:val="both"/>
        <w:rPr>
          <w:rFonts w:ascii="Times New Roman" w:hAnsi="Times New Roman"/>
        </w:rPr>
      </w:pPr>
      <w:r w:rsidRPr="00B544D1">
        <w:rPr>
          <w:rFonts w:ascii="Times New Roman" w:hAnsi="Times New Roman"/>
          <w:b/>
          <w:bCs/>
        </w:rPr>
        <w:t xml:space="preserve">PARÁGRAFO 2. </w:t>
      </w:r>
      <w:r w:rsidR="00040448" w:rsidRPr="00F53530">
        <w:rPr>
          <w:rFonts w:ascii="Times New Roman" w:hAnsi="Times New Roman"/>
        </w:rPr>
        <w:t xml:space="preserve">En virtud del respeto de las situaciones jurídicas consolidadas, las disposiciones en relación con el impuesto complementario de normalización tributaria consagradas en la </w:t>
      </w:r>
      <w:hyperlink r:id="rId46" w:history="1">
        <w:r w:rsidR="00040448" w:rsidRPr="00FB68BE">
          <w:rPr>
            <w:rStyle w:val="Hipervnculo"/>
            <w:rFonts w:ascii="Times New Roman" w:hAnsi="Times New Roman"/>
          </w:rPr>
          <w:t>Ley 1943 de 2018</w:t>
        </w:r>
      </w:hyperlink>
      <w:r w:rsidR="00040448" w:rsidRPr="00F53530">
        <w:rPr>
          <w:rFonts w:ascii="Times New Roman" w:hAnsi="Times New Roman"/>
        </w:rPr>
        <w:t>, seguirán aplicando para aquellos contribuyentes que se hayan sometido a dicho impuesto.</w:t>
      </w:r>
    </w:p>
    <w:p w14:paraId="045A3977" w14:textId="77777777" w:rsidR="000B5043" w:rsidRPr="00F53530" w:rsidRDefault="000B5043"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78" w14:textId="77777777" w:rsidR="00781078" w:rsidRPr="00781078" w:rsidRDefault="00781078" w:rsidP="00C44821">
      <w:pPr>
        <w:spacing w:after="0" w:line="240" w:lineRule="auto"/>
        <w:rPr>
          <w:rFonts w:ascii="Times New Roman" w:hAnsi="Times New Roman"/>
          <w:b/>
          <w:highlight w:val="yellow"/>
        </w:rPr>
      </w:pPr>
      <w:r w:rsidRPr="00781078">
        <w:rPr>
          <w:rFonts w:ascii="Times New Roman" w:hAnsi="Times New Roman"/>
          <w:b/>
          <w:highlight w:val="yellow"/>
        </w:rPr>
        <w:t>CONCORDANCIAS:</w:t>
      </w:r>
    </w:p>
    <w:p w14:paraId="045A3979" w14:textId="7359D6CE" w:rsidR="00781078" w:rsidRPr="00781078" w:rsidRDefault="00781078" w:rsidP="00C44821">
      <w:pPr>
        <w:numPr>
          <w:ilvl w:val="0"/>
          <w:numId w:val="5"/>
        </w:numPr>
        <w:spacing w:after="0" w:line="240" w:lineRule="auto"/>
        <w:jc w:val="both"/>
        <w:rPr>
          <w:rFonts w:ascii="Times New Roman" w:hAnsi="Times New Roman"/>
          <w:b/>
          <w:highlight w:val="yellow"/>
        </w:rPr>
      </w:pPr>
      <w:hyperlink r:id="rId47" w:history="1">
        <w:r w:rsidRPr="00781078">
          <w:rPr>
            <w:rStyle w:val="Hipervnculo"/>
            <w:rFonts w:ascii="Times New Roman" w:hAnsi="Times New Roman"/>
            <w:b/>
            <w:highlight w:val="yellow"/>
          </w:rPr>
          <w:t>Resolución DIAN No. 45 de 7 de mayo de 2020</w:t>
        </w:r>
      </w:hyperlink>
      <w:r w:rsidRPr="00781078">
        <w:rPr>
          <w:rFonts w:ascii="Times New Roman" w:hAnsi="Times New Roman"/>
          <w:b/>
          <w:highlight w:val="yellow"/>
        </w:rPr>
        <w:t xml:space="preserve">: </w:t>
      </w:r>
      <w:r w:rsidRPr="00781078">
        <w:rPr>
          <w:rFonts w:ascii="Times New Roman" w:hAnsi="Times New Roman"/>
          <w:highlight w:val="yellow"/>
        </w:rPr>
        <w:t>Por la cual se prescribe para el cumplimiento de las obligaciones tributarias, el formulario 210 para el año gravable 2019 o fracción 2020, el formulario 445 para el año gravable 2020 y se modifica la Resolución número 000019 del 10 de marzo de 2020 respecto al formulario 220.</w:t>
      </w:r>
    </w:p>
    <w:p w14:paraId="045A397A" w14:textId="77777777" w:rsidR="00781078" w:rsidRPr="008D36C3" w:rsidRDefault="00781078" w:rsidP="00C44821">
      <w:pPr>
        <w:widowControl w:val="0"/>
        <w:autoSpaceDE w:val="0"/>
        <w:autoSpaceDN w:val="0"/>
        <w:adjustRightInd w:val="0"/>
        <w:spacing w:after="0" w:line="240" w:lineRule="auto"/>
        <w:ind w:right="17"/>
        <w:jc w:val="both"/>
        <w:rPr>
          <w:rFonts w:ascii="Times New Roman" w:hAnsi="Times New Roman"/>
          <w:b/>
          <w:highlight w:val="lightGray"/>
        </w:rPr>
      </w:pPr>
    </w:p>
    <w:p w14:paraId="045A397B" w14:textId="77777777" w:rsidR="0047252D" w:rsidRPr="008D36C3" w:rsidRDefault="0047252D" w:rsidP="0047252D">
      <w:pPr>
        <w:spacing w:after="0" w:line="240" w:lineRule="auto"/>
        <w:jc w:val="both"/>
        <w:rPr>
          <w:rFonts w:ascii="Times New Roman" w:hAnsi="Times New Roman"/>
          <w:b/>
          <w:bCs/>
          <w:highlight w:val="lightGray"/>
        </w:rPr>
      </w:pPr>
      <w:r w:rsidRPr="008D36C3">
        <w:rPr>
          <w:rFonts w:ascii="Times New Roman" w:hAnsi="Times New Roman"/>
          <w:b/>
          <w:bCs/>
          <w:highlight w:val="lightGray"/>
        </w:rPr>
        <w:t>DOCTRINA:</w:t>
      </w:r>
    </w:p>
    <w:p w14:paraId="045A397C" w14:textId="595C9D10" w:rsidR="0047252D" w:rsidRPr="008D36C3" w:rsidRDefault="0047252D" w:rsidP="0047252D">
      <w:pPr>
        <w:numPr>
          <w:ilvl w:val="0"/>
          <w:numId w:val="4"/>
        </w:numPr>
        <w:spacing w:after="0" w:line="240" w:lineRule="auto"/>
        <w:jc w:val="both"/>
        <w:rPr>
          <w:rFonts w:ascii="Times New Roman" w:hAnsi="Times New Roman"/>
          <w:b/>
          <w:highlight w:val="lightGray"/>
        </w:rPr>
      </w:pPr>
      <w:hyperlink r:id="rId48" w:history="1">
        <w:r w:rsidRPr="008D36C3">
          <w:rPr>
            <w:rStyle w:val="Hipervnculo"/>
            <w:rFonts w:ascii="Times New Roman" w:hAnsi="Times New Roman"/>
            <w:b/>
            <w:highlight w:val="lightGray"/>
          </w:rPr>
          <w:t>CONCEPTO 909037 DE 1 DE SEPTIEMBRE DE 2021</w:t>
        </w:r>
      </w:hyperlink>
      <w:r w:rsidRPr="008D36C3">
        <w:rPr>
          <w:rFonts w:ascii="Times New Roman" w:hAnsi="Times New Roman"/>
          <w:b/>
          <w:highlight w:val="lightGray"/>
        </w:rPr>
        <w:t>. DIAN.</w:t>
      </w:r>
      <w:r w:rsidRPr="008D36C3">
        <w:rPr>
          <w:highlight w:val="lightGray"/>
        </w:rPr>
        <w:t xml:space="preserve"> </w:t>
      </w:r>
      <w:r w:rsidRPr="008D36C3">
        <w:rPr>
          <w:rFonts w:ascii="Times New Roman" w:hAnsi="Times New Roman"/>
          <w:i/>
          <w:highlight w:val="lightGray"/>
        </w:rPr>
        <w:t>El tipo de acto administrativo que se profiere como respuesta a la solicitud de habilitación del formulario de la declaración del Impuesto de Normalización Tributaria, será uno de trámite.</w:t>
      </w:r>
    </w:p>
    <w:p w14:paraId="045A397D" w14:textId="77777777" w:rsidR="0047252D" w:rsidRPr="008D36C3" w:rsidRDefault="0047252D" w:rsidP="0047252D">
      <w:pPr>
        <w:spacing w:after="0" w:line="240" w:lineRule="auto"/>
        <w:ind w:left="720"/>
        <w:jc w:val="both"/>
        <w:rPr>
          <w:rFonts w:ascii="Times New Roman" w:hAnsi="Times New Roman"/>
          <w:b/>
          <w:highlight w:val="lightGray"/>
        </w:rPr>
      </w:pPr>
    </w:p>
    <w:p w14:paraId="045A397E" w14:textId="74E70482" w:rsidR="00F15322" w:rsidRPr="008D36C3" w:rsidRDefault="00F15322" w:rsidP="00C44821">
      <w:pPr>
        <w:numPr>
          <w:ilvl w:val="0"/>
          <w:numId w:val="4"/>
        </w:numPr>
        <w:spacing w:after="0" w:line="240" w:lineRule="auto"/>
        <w:jc w:val="both"/>
        <w:rPr>
          <w:rFonts w:ascii="Times New Roman" w:hAnsi="Times New Roman"/>
          <w:b/>
          <w:highlight w:val="lightGray"/>
        </w:rPr>
      </w:pPr>
      <w:hyperlink r:id="rId49" w:history="1">
        <w:r w:rsidRPr="008D36C3">
          <w:rPr>
            <w:rStyle w:val="Hipervnculo"/>
            <w:rFonts w:ascii="Times New Roman" w:hAnsi="Times New Roman"/>
            <w:b/>
            <w:highlight w:val="lightGray"/>
          </w:rPr>
          <w:t>CONCEPTO 100208221-544 DE 11 DE MAYO DE 2020</w:t>
        </w:r>
      </w:hyperlink>
      <w:r w:rsidRPr="008D36C3">
        <w:rPr>
          <w:rFonts w:ascii="Times New Roman" w:hAnsi="Times New Roman"/>
          <w:b/>
          <w:highlight w:val="lightGray"/>
        </w:rPr>
        <w:t xml:space="preserve">. DIAN. </w:t>
      </w:r>
      <w:r w:rsidRPr="008D36C3">
        <w:rPr>
          <w:rFonts w:ascii="Times New Roman" w:hAnsi="Times New Roman"/>
          <w:i/>
          <w:highlight w:val="lightGray"/>
        </w:rPr>
        <w:t>Quienes se hayan sometido al impuesto de normalización previsto en la Ley 1943 de 2018 e incumplan la repatriación de activos omitidos invertidos con vocación de permanencia, deberán atender a las disposiciones consagradas en el artículo 1.5.7.4 del Decreto 1625 de 2016.</w:t>
      </w:r>
    </w:p>
    <w:p w14:paraId="045A397F" w14:textId="77777777" w:rsidR="00F53530" w:rsidRPr="00B544D1" w:rsidRDefault="00D57785" w:rsidP="00C44821">
      <w:pPr>
        <w:pStyle w:val="Ttulo1"/>
      </w:pPr>
      <w:r w:rsidRPr="00B544D1">
        <w:rPr>
          <w:rStyle w:val="Ttulo1Car"/>
          <w:b/>
          <w:bCs/>
        </w:rPr>
        <w:t>TÍTULO IV</w:t>
      </w:r>
      <w:r w:rsidR="00B544D1" w:rsidRPr="00B544D1">
        <w:rPr>
          <w:rStyle w:val="Ttulo1Car"/>
          <w:b/>
          <w:bCs/>
        </w:rPr>
        <w:br/>
      </w:r>
      <w:r w:rsidR="00040448" w:rsidRPr="00B544D1">
        <w:rPr>
          <w:rStyle w:val="Ttulo1Car"/>
          <w:b/>
          <w:bCs/>
        </w:rPr>
        <w:t>MEDIDAS PARA COMBATIR LA EVASIÓN Y EL ABUSO EN MAT</w:t>
      </w:r>
      <w:r w:rsidRPr="00B544D1">
        <w:rPr>
          <w:rStyle w:val="Ttulo1Car"/>
          <w:b/>
          <w:bCs/>
        </w:rPr>
        <w:t>ERIA TRIBUTARI</w:t>
      </w:r>
      <w:r w:rsidRPr="00B544D1">
        <w:t>A</w:t>
      </w:r>
    </w:p>
    <w:p w14:paraId="045A3980" w14:textId="77777777" w:rsidR="00F53530" w:rsidRDefault="00D57785" w:rsidP="00C44821">
      <w:pPr>
        <w:pStyle w:val="Ttulo2"/>
      </w:pPr>
      <w:r w:rsidRPr="00F53530">
        <w:t>CAPÍTULO I</w:t>
      </w:r>
      <w:r w:rsidR="00B544D1">
        <w:br/>
      </w:r>
      <w:r w:rsidR="00040448" w:rsidRPr="00F53530">
        <w:t>IMPUESTO S</w:t>
      </w:r>
      <w:r w:rsidRPr="00F53530">
        <w:t>OBRE LA RENTA Y COMPLEMENTARIOS</w:t>
      </w:r>
    </w:p>
    <w:p w14:paraId="045A3981" w14:textId="77777777" w:rsidR="00040448" w:rsidRPr="00F53530" w:rsidRDefault="00040448" w:rsidP="00C44821">
      <w:pPr>
        <w:spacing w:before="240" w:after="240" w:line="240" w:lineRule="auto"/>
        <w:jc w:val="both"/>
        <w:rPr>
          <w:rFonts w:ascii="Times New Roman" w:hAnsi="Times New Roman"/>
        </w:rPr>
      </w:pPr>
      <w:r w:rsidRPr="004E0B04">
        <w:rPr>
          <w:rFonts w:ascii="Times New Roman" w:hAnsi="Times New Roman"/>
          <w:b/>
          <w:bCs/>
        </w:rPr>
        <w:t>ARTÍCULO 61.</w:t>
      </w:r>
      <w:r w:rsidR="004E0B04">
        <w:rPr>
          <w:rFonts w:ascii="Times New Roman" w:hAnsi="Times New Roman"/>
        </w:rPr>
        <w:t xml:space="preserve"> </w:t>
      </w:r>
      <w:r w:rsidRPr="00F53530">
        <w:rPr>
          <w:rFonts w:ascii="Times New Roman" w:hAnsi="Times New Roman"/>
        </w:rPr>
        <w:t xml:space="preserve">Modifíquese el artículo 90 del </w:t>
      </w:r>
      <w:r w:rsidR="000F3ADC">
        <w:rPr>
          <w:rFonts w:ascii="Times New Roman" w:hAnsi="Times New Roman"/>
        </w:rPr>
        <w:t>*</w:t>
      </w:r>
      <w:r w:rsidRPr="00F53530">
        <w:rPr>
          <w:rFonts w:ascii="Times New Roman" w:hAnsi="Times New Roman"/>
        </w:rPr>
        <w:t>Estatuto Tributario, el cual quedará así:</w:t>
      </w:r>
    </w:p>
    <w:p w14:paraId="045A3982" w14:textId="77777777" w:rsidR="00040448" w:rsidRPr="00F53530" w:rsidRDefault="00040448" w:rsidP="00C44821">
      <w:pPr>
        <w:spacing w:before="240" w:after="240" w:line="240" w:lineRule="auto"/>
        <w:jc w:val="both"/>
        <w:rPr>
          <w:rFonts w:ascii="Times New Roman" w:hAnsi="Times New Roman"/>
          <w:i/>
        </w:rPr>
      </w:pPr>
      <w:r w:rsidRPr="008529E2">
        <w:rPr>
          <w:rFonts w:ascii="Times New Roman" w:hAnsi="Times New Roman"/>
          <w:b/>
          <w:bCs/>
          <w:i/>
        </w:rPr>
        <w:t>Artículo 90</w:t>
      </w:r>
      <w:r w:rsidR="00280B8A" w:rsidRPr="008529E2">
        <w:rPr>
          <w:rFonts w:ascii="Times New Roman" w:hAnsi="Times New Roman"/>
          <w:b/>
          <w:bCs/>
          <w:i/>
        </w:rPr>
        <w:t>.</w:t>
      </w:r>
      <w:r w:rsidRPr="008529E2">
        <w:rPr>
          <w:rFonts w:ascii="Times New Roman" w:hAnsi="Times New Roman"/>
          <w:b/>
          <w:bCs/>
          <w:i/>
        </w:rPr>
        <w:t xml:space="preserve"> Determinación de la renta bruta en la enajenación de activos y valor comercial en operaciones sobre bienes y servicios.</w:t>
      </w:r>
      <w:r w:rsidRPr="00F53530">
        <w:rPr>
          <w:rFonts w:ascii="Times New Roman" w:hAnsi="Times New Roman"/>
          <w:i/>
        </w:rPr>
        <w:t xml:space="preserve"> La renta bruta o la pérdida proveniente de la enajenación de activos a cualquier título, está constituida por la diferencia entre el precio de la enajenación y el costo del activo o activos enajenados.</w:t>
      </w:r>
    </w:p>
    <w:p w14:paraId="045A398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Cuando se trate de activos fijos depreciables, la utilidad que resulta al momento de la enajenación deberá imputarse, en primer término, a la renta líquida por recuperación de deducciones, depreciaciones o amortizaciones; el saldo de la utilidad constituye renta o ganancia ocasional, según el caso.</w:t>
      </w:r>
    </w:p>
    <w:p w14:paraId="045A398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precio de la enajenación es el valor comercial realizado en dinero o en especie. Para estos efectos será parte del precio el valor comercial de las especies recibidas.</w:t>
      </w:r>
    </w:p>
    <w:p w14:paraId="045A398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Se tiene por valor comercial el señalado por las partes, el cual deberá corresponder al precio comercial promedio para bienes de la misma especie, en la fecha de su enajenación. Esta previsión también resulta aplicable a los servicios.</w:t>
      </w:r>
    </w:p>
    <w:p w14:paraId="045A398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el caso de bienes raíces, además de lo previsto en esta disposición, no se aceptará un precio inferior al costo, al avalúo catastral ni al autoavalúo, sin perjuicio de la posibilidad de un valor comercial superior. En los casos en que existan listas de precios, bases de datos, ofertas o cualquier otro mecanismo que permita determinar el valor comercial de los bienes raíces enajenados o transferidos, los contribuyentes deberán remitirse a los mismos. Del mismo modo, el valor de los inmuebles estará conformado por todas las sumas pagadas para su adquisición, así se convengan o facturen por fuera de la escritura o correspondan a bienes o servicios accesorios a la adquisición del bien, tales como aportes, mejoras, construcciones, intermediación o cualquier otro concepto.</w:t>
      </w:r>
    </w:p>
    <w:p w14:paraId="045A398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facultades de la Dirección de Impuestos y Aduanas Nacionales (DIAN) para determinar el valor real de la transacción.</w:t>
      </w:r>
    </w:p>
    <w:p w14:paraId="045A398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inmuebles adquiridos a través de fondos, fiducias, esquemas de promoción inmobiliaria o semejantes, quedarán sometidos a lo previsto en esta disposición. Para el efecto, los beneficiarios de las unidades inmobiliarias serán considerados como adquirentes de los bienes raíces, en relación con los cuales deberá declararse su valor de mercado.</w:t>
      </w:r>
    </w:p>
    <w:p w14:paraId="045A398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No serán constitutivos de costo de los bienes raíces aquellas sumas que no se hayan desembolsado a través de entidades financieras.</w:t>
      </w:r>
    </w:p>
    <w:p w14:paraId="045A398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Cuando el valor asignado por las partes difiera notoriamente del valor comercial de los bienes o servicios en la fecha de su enajenación o prestación, conforme a lo dispuesto en este artículo, el funcionario que esté adelantando el proceso de fiscalización respectivo, podrá rechazarlo para los efectos impositivos y señalar un precio de enajenación acorde con la naturaleza, condiciones y estado de los activos; atendiendo a los datos estadísticos producidos por la Dirección General de Impuestos Nacionales, por el Departamento Nacional de Estadística, por el Banco de la República u otras entidades afines. Su aplicación y discusión se hará dentro del mismo proceso.</w:t>
      </w:r>
    </w:p>
    <w:p w14:paraId="045A398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Se entiende que el valor asignado por las partes difiere notoriamente del promedio vigente, cuando se aparte en más de un quince por ciento (15%) de los precios establecidos en el comercio para los bienes o servicios de la misma especie y calidad, en la fecha de enajenación o prestación, teniendo en cuenta la naturaleza, condiciones y estado de los activos y servicios.</w:t>
      </w:r>
    </w:p>
    <w:p w14:paraId="045A398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Sin perjuicio de lo previsto en este artículo, cuando el activo enajenado sean acciones o cuotas de interés social de sociedades o entidades nacionales que no coticen en la Bolsa de Valores de Colombia o una de reconocida idoneidad internacional según lo determine la Dirección de Impuestos y Aduanas Nacionales (DIAN), salvo prueba en contrario, se presume que el precio de enajenación no puede ser inferior al valor intrínseco incrementado en un 30%. Lo anterior sin perjuicio de la </w:t>
      </w:r>
      <w:r w:rsidRPr="00F53530">
        <w:rPr>
          <w:rFonts w:ascii="Times New Roman" w:hAnsi="Times New Roman"/>
          <w:i/>
        </w:rPr>
        <w:lastRenderedPageBreak/>
        <w:t>facultad fiscalizadora de la Dirección de Impuestos y Aduanas Nacionales (DIAN), en virtud de la cual podrá acudir a los métodos de valoración técnicamente aceptados, como el de flujos descontados a valor presente o el de múltiplos de EBITDA.</w:t>
      </w:r>
    </w:p>
    <w:p w14:paraId="045A398D"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El mismo tratamiento previsto en el inciso anterior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Dirección de Impuestos y Aduanas Nacionales (DIAN).</w:t>
      </w:r>
    </w:p>
    <w:p w14:paraId="045A398E" w14:textId="77777777" w:rsidR="000F3ADC" w:rsidRPr="00F53530" w:rsidRDefault="000F3ADC"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8F" w14:textId="77777777" w:rsidR="00040448" w:rsidRPr="00F53530" w:rsidRDefault="00040448" w:rsidP="00C44821">
      <w:pPr>
        <w:spacing w:before="240" w:after="240" w:line="240" w:lineRule="auto"/>
        <w:jc w:val="both"/>
        <w:rPr>
          <w:rFonts w:ascii="Times New Roman" w:hAnsi="Times New Roman"/>
        </w:rPr>
      </w:pPr>
      <w:r w:rsidRPr="00536A78">
        <w:rPr>
          <w:rFonts w:ascii="Times New Roman" w:hAnsi="Times New Roman"/>
          <w:b/>
          <w:bCs/>
        </w:rPr>
        <w:t>ARTÍCULO 62.</w:t>
      </w:r>
      <w:r w:rsidR="00536A78">
        <w:rPr>
          <w:rFonts w:ascii="Times New Roman" w:hAnsi="Times New Roman"/>
          <w:b/>
          <w:bCs/>
        </w:rPr>
        <w:t xml:space="preserve"> </w:t>
      </w:r>
      <w:r w:rsidRPr="00F53530">
        <w:rPr>
          <w:rFonts w:ascii="Times New Roman" w:hAnsi="Times New Roman"/>
        </w:rPr>
        <w:t xml:space="preserve">Adiciónese el artículo 90-3 del </w:t>
      </w:r>
      <w:r w:rsidR="000F3ADC">
        <w:rPr>
          <w:rFonts w:ascii="Times New Roman" w:hAnsi="Times New Roman"/>
        </w:rPr>
        <w:t>*</w:t>
      </w:r>
      <w:r w:rsidRPr="00F53530">
        <w:rPr>
          <w:rFonts w:ascii="Times New Roman" w:hAnsi="Times New Roman"/>
        </w:rPr>
        <w:t>Estatuto Tributario, el cual quedará así:</w:t>
      </w:r>
    </w:p>
    <w:p w14:paraId="045A3990" w14:textId="77777777" w:rsidR="00040448" w:rsidRPr="00F53530" w:rsidRDefault="00040448" w:rsidP="00C44821">
      <w:pPr>
        <w:spacing w:before="240" w:after="240" w:line="240" w:lineRule="auto"/>
        <w:jc w:val="both"/>
        <w:rPr>
          <w:rFonts w:ascii="Times New Roman" w:hAnsi="Times New Roman"/>
          <w:i/>
        </w:rPr>
      </w:pPr>
      <w:r w:rsidRPr="008529E2">
        <w:rPr>
          <w:rFonts w:ascii="Times New Roman" w:hAnsi="Times New Roman"/>
          <w:b/>
          <w:bCs/>
          <w:i/>
        </w:rPr>
        <w:t>Artículo 90-3</w:t>
      </w:r>
      <w:r w:rsidR="00280B8A" w:rsidRPr="008529E2">
        <w:rPr>
          <w:rFonts w:ascii="Times New Roman" w:hAnsi="Times New Roman"/>
          <w:b/>
          <w:bCs/>
          <w:i/>
        </w:rPr>
        <w:t>.</w:t>
      </w:r>
      <w:r w:rsidRPr="008529E2">
        <w:rPr>
          <w:rFonts w:ascii="Times New Roman" w:hAnsi="Times New Roman"/>
          <w:b/>
          <w:bCs/>
          <w:i/>
        </w:rPr>
        <w:t xml:space="preserve"> Enajenaciones indirectas.</w:t>
      </w:r>
      <w:r w:rsidRPr="00F53530">
        <w:rPr>
          <w:rFonts w:ascii="Times New Roman" w:hAnsi="Times New Roman"/>
          <w:i/>
        </w:rPr>
        <w:t xml:space="preserve"> La enajenación indirecta de acciones en sociedades, derechos o activos ubicados en el territorio nacional, mediante la enajenación, a cualquier título, de acciones, participaciones o derechos de entidades del exterior, se encuentra gravada en Colombia como si la enajenación del activo subyacente se hubiera realizado directamente. El costo fiscal aplicable al activo subyacente, así como el tratamiento y condiciones tributarios será el que tenga el tenedor del activo subyacente como si lo hubiera enajenado directamente en el país y el precio de venta o valor de enajenación debe corresponder a su valor comercial de conformidad con el </w:t>
      </w:r>
      <w:r w:rsidR="000F3ADC">
        <w:rPr>
          <w:rFonts w:ascii="Times New Roman" w:hAnsi="Times New Roman"/>
          <w:i/>
        </w:rPr>
        <w:t>*</w:t>
      </w:r>
      <w:r w:rsidRPr="00F53530">
        <w:rPr>
          <w:rFonts w:ascii="Times New Roman" w:hAnsi="Times New Roman"/>
          <w:i/>
        </w:rPr>
        <w:t>Estatuto Tributario. Cuando se realice una posterior enajenación indirecta, el costo fiscal será el valor proporcionalmente pagado por las acciones, participaciones o derechos de la entidad del exterior que posee los activos subyacentes ubicados en Colombia.</w:t>
      </w:r>
    </w:p>
    <w:p w14:paraId="045A399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Se entiende por transferencia indirecta, la enajenación de un derecho de participación en un activo en su totalidad o en parte, ya sea que dicha transferencia se realice entre partes relacionadas o independientes.</w:t>
      </w:r>
    </w:p>
    <w:p w14:paraId="045A399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Cuando el primer punto de contacto en Colombia sea una sociedad nacional, se entenderá que el activo subyacente son las acciones, participaciones o derechos en dicha sociedad nacional.</w:t>
      </w:r>
    </w:p>
    <w:p w14:paraId="045A399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Cuando el adquirente sea un residente colombiano, agente de retención, deberá practicar la correspondiente retención en la fuente según la naturaleza del pago. La retención en la fuente será calculada con base en la participación total del valor comercial del activo subyacente ubicado en Colombia dentro del valor total de enajenación.</w:t>
      </w:r>
    </w:p>
    <w:p w14:paraId="045A3994" w14:textId="77777777" w:rsidR="00040448" w:rsidRPr="00F53530" w:rsidRDefault="00280B8A" w:rsidP="00C44821">
      <w:pPr>
        <w:spacing w:before="240" w:after="240" w:line="240" w:lineRule="auto"/>
        <w:jc w:val="both"/>
        <w:rPr>
          <w:rFonts w:ascii="Times New Roman" w:hAnsi="Times New Roman"/>
          <w:i/>
        </w:rPr>
      </w:pPr>
      <w:r w:rsidRPr="008529E2">
        <w:rPr>
          <w:rFonts w:ascii="Times New Roman" w:hAnsi="Times New Roman"/>
          <w:b/>
          <w:bCs/>
          <w:i/>
        </w:rPr>
        <w:t xml:space="preserve">PARÁGRAFO 1. </w:t>
      </w:r>
      <w:r w:rsidR="00040448" w:rsidRPr="00F53530">
        <w:rPr>
          <w:rFonts w:ascii="Times New Roman" w:hAnsi="Times New Roman"/>
          <w:i/>
        </w:rPr>
        <w:t>Lo dispuesto en este artículo no se aplicará cuando las acciones o derechos que se enajenen se encuentren inscritos en una Bolsa de Valores reconocida por una autoridad gubernamental, que cuente con un mercado secundario activo, y cuando las acciones no estén concentradas en un mismo beneficiario real en más de un veinte por ciento (20%).</w:t>
      </w:r>
    </w:p>
    <w:p w14:paraId="045A3995" w14:textId="77777777" w:rsidR="00040448" w:rsidRPr="00F53530" w:rsidRDefault="00280B8A" w:rsidP="00C44821">
      <w:pPr>
        <w:spacing w:before="240" w:after="240" w:line="240" w:lineRule="auto"/>
        <w:jc w:val="both"/>
        <w:rPr>
          <w:rFonts w:ascii="Times New Roman" w:hAnsi="Times New Roman"/>
          <w:i/>
        </w:rPr>
      </w:pPr>
      <w:r w:rsidRPr="008529E2">
        <w:rPr>
          <w:rFonts w:ascii="Times New Roman" w:hAnsi="Times New Roman"/>
          <w:b/>
          <w:bCs/>
          <w:i/>
        </w:rPr>
        <w:t>PARÁGRAFO 2.</w:t>
      </w:r>
      <w:r w:rsidR="00A03C6F" w:rsidRPr="00F53530">
        <w:rPr>
          <w:rFonts w:ascii="Times New Roman" w:hAnsi="Times New Roman"/>
          <w:i/>
        </w:rPr>
        <w:t xml:space="preserve"> </w:t>
      </w:r>
      <w:r w:rsidR="00040448" w:rsidRPr="00F53530">
        <w:rPr>
          <w:rFonts w:ascii="Times New Roman" w:hAnsi="Times New Roman"/>
          <w:i/>
        </w:rPr>
        <w:t>Lo dispuesto en este artículo no se aplicará a la transferencia indirecta de sociedades o activos ubicados en el territorio nacional, cuando el valor de los activos ubicados en Colombia represente menos del veinte por ciento (20%) del valor en libros y menos del veinte por ciento (20%) del valor comercial, de la totalidad de los activos poseídos por la entidad del exterior enajenada.</w:t>
      </w:r>
    </w:p>
    <w:p w14:paraId="045A399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 xml:space="preserve">En el caso de fusiones y escisiones entre entidades extranjeras, que involucren una enajenación indirecta, se aplicarán las disposiciones del artículo 319-8 del </w:t>
      </w:r>
      <w:r w:rsidR="000F3ADC">
        <w:rPr>
          <w:rFonts w:ascii="Times New Roman" w:hAnsi="Times New Roman"/>
          <w:i/>
        </w:rPr>
        <w:t>*</w:t>
      </w:r>
      <w:r w:rsidRPr="00F53530">
        <w:rPr>
          <w:rFonts w:ascii="Times New Roman" w:hAnsi="Times New Roman"/>
          <w:i/>
        </w:rPr>
        <w:t>Estatuto Tributario.</w:t>
      </w:r>
    </w:p>
    <w:p w14:paraId="045A3997" w14:textId="77777777" w:rsidR="00040448" w:rsidRPr="00F53530" w:rsidRDefault="00280B8A" w:rsidP="00C44821">
      <w:pPr>
        <w:spacing w:before="240" w:after="240" w:line="240" w:lineRule="auto"/>
        <w:jc w:val="both"/>
        <w:rPr>
          <w:rFonts w:ascii="Times New Roman" w:hAnsi="Times New Roman"/>
          <w:i/>
        </w:rPr>
      </w:pPr>
      <w:r w:rsidRPr="008529E2">
        <w:rPr>
          <w:rFonts w:ascii="Times New Roman" w:hAnsi="Times New Roman"/>
          <w:b/>
          <w:bCs/>
          <w:i/>
        </w:rPr>
        <w:t>PARÁGRAFO 3.</w:t>
      </w:r>
      <w:r w:rsidR="00A03C6F" w:rsidRPr="00F53530">
        <w:rPr>
          <w:rFonts w:ascii="Times New Roman" w:hAnsi="Times New Roman"/>
          <w:i/>
        </w:rPr>
        <w:t xml:space="preserve"> </w:t>
      </w:r>
      <w:r w:rsidR="00040448" w:rsidRPr="00F53530">
        <w:rPr>
          <w:rFonts w:ascii="Times New Roman" w:hAnsi="Times New Roman"/>
          <w:i/>
        </w:rPr>
        <w:t>En caso de incumplimiento de las obligaciones tributarias derivadas de una transferencia indirecta por parte del vendedor, la subordinada en territorio colombiano responderá solidariamente por los impuestos, intereses y sanciones, sin perjuicio del derecho a la acción de repetición contra el vendedor. El comprador será responsable solidario, cuando tenga conocimiento que la operación constituye abuso en materia tributaria.</w:t>
      </w:r>
    </w:p>
    <w:p w14:paraId="045A3998" w14:textId="77777777" w:rsidR="00040448" w:rsidRPr="00F53530" w:rsidRDefault="00280B8A" w:rsidP="00C44821">
      <w:pPr>
        <w:spacing w:before="240" w:after="240" w:line="240" w:lineRule="auto"/>
        <w:jc w:val="both"/>
        <w:rPr>
          <w:rFonts w:ascii="Times New Roman" w:hAnsi="Times New Roman"/>
          <w:i/>
        </w:rPr>
      </w:pPr>
      <w:r w:rsidRPr="008529E2">
        <w:rPr>
          <w:rFonts w:ascii="Times New Roman" w:hAnsi="Times New Roman"/>
          <w:b/>
          <w:bCs/>
          <w:i/>
        </w:rPr>
        <w:t>PARÁGRAFO 4.</w:t>
      </w:r>
      <w:r w:rsidRPr="00F53530">
        <w:rPr>
          <w:rFonts w:ascii="Times New Roman" w:hAnsi="Times New Roman"/>
          <w:i/>
        </w:rPr>
        <w:t xml:space="preserve"> </w:t>
      </w:r>
      <w:r w:rsidR="00040448" w:rsidRPr="00F53530">
        <w:rPr>
          <w:rFonts w:ascii="Times New Roman" w:hAnsi="Times New Roman"/>
          <w:i/>
        </w:rPr>
        <w:t>El término de tenencia que permite determinar si la transferencia se encuentra gravada con el impuesto sobre la renta o ganancia ocasional será aquel que tenga el accionista, socio o partícipe en la entidad tenedora de los activos subyacentes ubicados en territorio colombiano.</w:t>
      </w:r>
    </w:p>
    <w:p w14:paraId="045A3999" w14:textId="77777777" w:rsidR="00040448" w:rsidRDefault="00280B8A" w:rsidP="00C44821">
      <w:pPr>
        <w:spacing w:before="240" w:after="240" w:line="240" w:lineRule="auto"/>
        <w:jc w:val="both"/>
        <w:rPr>
          <w:rFonts w:ascii="Times New Roman" w:hAnsi="Times New Roman"/>
          <w:i/>
        </w:rPr>
      </w:pPr>
      <w:r w:rsidRPr="008529E2">
        <w:rPr>
          <w:rFonts w:ascii="Times New Roman" w:hAnsi="Times New Roman"/>
          <w:b/>
          <w:bCs/>
          <w:i/>
        </w:rPr>
        <w:t>PARÁGRAFO 5.</w:t>
      </w:r>
      <w:r w:rsidRPr="00F53530">
        <w:rPr>
          <w:rFonts w:ascii="Times New Roman" w:hAnsi="Times New Roman"/>
          <w:i/>
        </w:rPr>
        <w:t xml:space="preserve"> </w:t>
      </w:r>
      <w:r w:rsidR="00040448" w:rsidRPr="00F53530">
        <w:rPr>
          <w:rFonts w:ascii="Times New Roman" w:hAnsi="Times New Roman"/>
          <w:i/>
        </w:rPr>
        <w:t>El vendedor que enajena indirectamente el activo subyacente es quien debe cumplir con la obligación de presentar las declaraciones tributarias en Colombia. La declaración del impuesto sobre la renta debe ser presentada dentro del mes siguiente a la fecha de enajenación, salvo que el vendedor sea residente fiscal en el país.</w:t>
      </w:r>
    </w:p>
    <w:p w14:paraId="045A399A" w14:textId="77777777" w:rsidR="000F3ADC" w:rsidRPr="00F53530" w:rsidRDefault="000F3ADC"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9B" w14:textId="77777777" w:rsidR="00040448" w:rsidRPr="00F53530" w:rsidRDefault="00040448" w:rsidP="00C44821">
      <w:pPr>
        <w:spacing w:before="240" w:after="240" w:line="240" w:lineRule="auto"/>
        <w:jc w:val="both"/>
        <w:rPr>
          <w:rFonts w:ascii="Times New Roman" w:hAnsi="Times New Roman"/>
        </w:rPr>
      </w:pPr>
      <w:r w:rsidRPr="00536A78">
        <w:rPr>
          <w:rFonts w:ascii="Times New Roman" w:hAnsi="Times New Roman"/>
          <w:b/>
          <w:bCs/>
        </w:rPr>
        <w:t>ARTÍCULO 63.</w:t>
      </w:r>
      <w:r w:rsidR="00536A78">
        <w:rPr>
          <w:rFonts w:ascii="Times New Roman" w:hAnsi="Times New Roman"/>
          <w:b/>
          <w:bCs/>
        </w:rPr>
        <w:t xml:space="preserve"> </w:t>
      </w:r>
      <w:r w:rsidRPr="00F53530">
        <w:rPr>
          <w:rFonts w:ascii="Times New Roman" w:hAnsi="Times New Roman"/>
        </w:rPr>
        <w:t xml:space="preserve">Modifíquese el artículo 118-1 del </w:t>
      </w:r>
      <w:r w:rsidR="003978E5">
        <w:rPr>
          <w:rFonts w:ascii="Times New Roman" w:hAnsi="Times New Roman"/>
        </w:rPr>
        <w:t>*</w:t>
      </w:r>
      <w:r w:rsidRPr="00F53530">
        <w:rPr>
          <w:rFonts w:ascii="Times New Roman" w:hAnsi="Times New Roman"/>
        </w:rPr>
        <w:t>Estatuto Tributario, el cual quedará así:</w:t>
      </w:r>
    </w:p>
    <w:p w14:paraId="045A399C" w14:textId="77777777" w:rsidR="00040448" w:rsidRPr="00F53530" w:rsidRDefault="00040448" w:rsidP="00C44821">
      <w:pPr>
        <w:spacing w:before="240" w:after="240" w:line="240" w:lineRule="auto"/>
        <w:jc w:val="both"/>
        <w:rPr>
          <w:rFonts w:ascii="Times New Roman" w:hAnsi="Times New Roman"/>
          <w:i/>
        </w:rPr>
      </w:pPr>
      <w:r w:rsidRPr="007F2205">
        <w:rPr>
          <w:rFonts w:ascii="Times New Roman" w:hAnsi="Times New Roman"/>
          <w:b/>
          <w:bCs/>
          <w:i/>
        </w:rPr>
        <w:t>Artículo 118-1</w:t>
      </w:r>
      <w:r w:rsidR="00280B8A" w:rsidRPr="007F2205">
        <w:rPr>
          <w:rFonts w:ascii="Times New Roman" w:hAnsi="Times New Roman"/>
          <w:b/>
          <w:bCs/>
          <w:i/>
        </w:rPr>
        <w:t>.</w:t>
      </w:r>
      <w:r w:rsidRPr="007F2205">
        <w:rPr>
          <w:rFonts w:ascii="Times New Roman" w:hAnsi="Times New Roman"/>
          <w:b/>
          <w:bCs/>
          <w:i/>
        </w:rPr>
        <w:t xml:space="preserve"> Subcapitalización.</w:t>
      </w:r>
      <w:r w:rsidRPr="00F53530">
        <w:rPr>
          <w:rFonts w:ascii="Times New Roman" w:hAnsi="Times New Roman"/>
          <w:i/>
        </w:rPr>
        <w:t xml:space="preserve"> Son deducibles, siempre y cuando cumplan con los requisitos previstos en la ley, los intereses por deudas durante el respectivo período gravable.</w:t>
      </w:r>
    </w:p>
    <w:p w14:paraId="045A399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Sin perjuicio de los demás requisitos y condiciones consagrados en este Estatuto para la procedencia de la deducción, cuando las deudas que generan intereses sean contraídas, directa o indirectamente, a favor de vinculados económicos nacionales o extranjeros, los contribuyentes del impuesto sobre la renta y complementarios solo podrán deducir los intereses generados con ocasión de tales deudas en cuanto el monto total promedio de las mismas, durante el correspondiente año gravable, no exceda el resultado de multiplicar por dos (2) el patrimonio líquido del contribuyente determinado a 31 de diciembre del año gravable inmediatamente anterior.</w:t>
      </w:r>
    </w:p>
    <w:p w14:paraId="045A399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virtud de lo dispuesto en el inciso anterior, no será deducible la proporción de los intereses que exceda el límite a que se refiere este artículo.</w:t>
      </w:r>
    </w:p>
    <w:p w14:paraId="045A399F" w14:textId="77777777" w:rsidR="00040448" w:rsidRPr="00F53530" w:rsidRDefault="00280B8A" w:rsidP="00C44821">
      <w:pPr>
        <w:spacing w:before="240" w:after="240" w:line="240" w:lineRule="auto"/>
        <w:jc w:val="both"/>
        <w:rPr>
          <w:rFonts w:ascii="Times New Roman" w:hAnsi="Times New Roman"/>
          <w:i/>
        </w:rPr>
      </w:pPr>
      <w:r w:rsidRPr="007F2205">
        <w:rPr>
          <w:rFonts w:ascii="Times New Roman" w:hAnsi="Times New Roman"/>
          <w:b/>
          <w:bCs/>
          <w:i/>
        </w:rPr>
        <w:t>PARÁGRAFO 1.</w:t>
      </w:r>
      <w:r w:rsidR="00A03C6F" w:rsidRPr="00F53530">
        <w:rPr>
          <w:rFonts w:ascii="Times New Roman" w:hAnsi="Times New Roman"/>
          <w:i/>
        </w:rPr>
        <w:t xml:space="preserve"> </w:t>
      </w:r>
      <w:r w:rsidR="00040448" w:rsidRPr="00F53530">
        <w:rPr>
          <w:rFonts w:ascii="Times New Roman" w:hAnsi="Times New Roman"/>
          <w:i/>
        </w:rPr>
        <w:t>En los demás casos, para efectos de la deducción de los intereses, el contribuyente deberá estar en capacidad de demostrar a la DIAN, mediante certificación de la entidad residente o no residente que obre como acreedora, que se entenderá prestada bajo la gravedad de juramento, que el crédito o los créditos no corresponden a operaciones de endeudamiento con entidades vinculadas mediante un aval, back-to-back, o cualquier otra operación en la que sustancialmente dichas vinculadas actúen como acreedoras. Las entidades del exterior o que se encuentren en el país que cohonesten cualquier operación que pretenda encubrir el acreedor real serán responsables solidarias con el deudor de la operación de crédito en relación con los mayores impuestos, sanciones e intereses a los que haya lugar con motivo del desconocimiento de la operación, sin perjuicio de las sanciones penales a que pueda haber lugar.</w:t>
      </w:r>
    </w:p>
    <w:p w14:paraId="045A39A0" w14:textId="77777777" w:rsidR="00040448" w:rsidRPr="00F53530" w:rsidRDefault="00280B8A" w:rsidP="00C44821">
      <w:pPr>
        <w:spacing w:before="240" w:after="240" w:line="240" w:lineRule="auto"/>
        <w:jc w:val="both"/>
        <w:rPr>
          <w:rFonts w:ascii="Times New Roman" w:hAnsi="Times New Roman"/>
          <w:i/>
        </w:rPr>
      </w:pPr>
      <w:r w:rsidRPr="00566A8E">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 xml:space="preserve">Las deudas que se tendrán en cuenta para efectos del cálculo de la proporción a la que se refiere el inciso segundo son las deudas que generen intereses e incluyen aquellas que se </w:t>
      </w:r>
      <w:r w:rsidR="00040448" w:rsidRPr="00F53530">
        <w:rPr>
          <w:rFonts w:ascii="Times New Roman" w:hAnsi="Times New Roman"/>
          <w:i/>
        </w:rPr>
        <w:lastRenderedPageBreak/>
        <w:t>hayan contraído con vinculados económicos por conducto de intermediarios no vinculados del exterior o que se encuentren en el país.</w:t>
      </w:r>
    </w:p>
    <w:p w14:paraId="045A39A1" w14:textId="7E54E8FD" w:rsidR="00040448" w:rsidRPr="00F53530" w:rsidRDefault="00280B8A" w:rsidP="00C44821">
      <w:pPr>
        <w:spacing w:before="240" w:after="240" w:line="240" w:lineRule="auto"/>
        <w:jc w:val="both"/>
        <w:rPr>
          <w:rFonts w:ascii="Times New Roman" w:hAnsi="Times New Roman"/>
          <w:i/>
        </w:rPr>
      </w:pPr>
      <w:r w:rsidRPr="00566A8E">
        <w:rPr>
          <w:rFonts w:ascii="Times New Roman" w:hAnsi="Times New Roman"/>
          <w:b/>
          <w:bCs/>
          <w:i/>
        </w:rPr>
        <w:t>PARÁGRAFO 3.</w:t>
      </w:r>
      <w:r w:rsidR="00A03C6F" w:rsidRPr="00F53530">
        <w:rPr>
          <w:rFonts w:ascii="Times New Roman" w:hAnsi="Times New Roman"/>
          <w:i/>
        </w:rPr>
        <w:t xml:space="preserve"> </w:t>
      </w:r>
      <w:r w:rsidR="00040448" w:rsidRPr="00F53530">
        <w:rPr>
          <w:rFonts w:ascii="Times New Roman" w:hAnsi="Times New Roman"/>
          <w:i/>
        </w:rPr>
        <w:t xml:space="preserve">Lo dispuesto en el inciso segundo de este artículo y en los parágrafos primero y segundo no se aplicará a los contribuyentes del impuesto sobre la renta y complementarios que estén sometidos a inspección y vigilancia de la Superintendencia Financiera de Colombia, ni a los que realicen actividades de factoring, en los términos del </w:t>
      </w:r>
      <w:hyperlink r:id="rId50" w:history="1">
        <w:r w:rsidR="00040448" w:rsidRPr="0052684C">
          <w:rPr>
            <w:rStyle w:val="Hipervnculo"/>
            <w:rFonts w:ascii="Times New Roman" w:hAnsi="Times New Roman"/>
            <w:i/>
          </w:rPr>
          <w:t>Decreto 2669 de 2012</w:t>
        </w:r>
      </w:hyperlink>
      <w:r w:rsidR="00040448" w:rsidRPr="00F53530">
        <w:rPr>
          <w:rFonts w:ascii="Times New Roman" w:hAnsi="Times New Roman"/>
          <w:i/>
        </w:rPr>
        <w:t xml:space="preserve">, y siempre y cuando las actividades de la compañía de factoring no sean prestadas en más de un 50% a compañías con vinculación económica, en los términos del artículo 260-1 del </w:t>
      </w:r>
      <w:r w:rsidR="003978E5">
        <w:rPr>
          <w:rFonts w:ascii="Times New Roman" w:hAnsi="Times New Roman"/>
          <w:i/>
        </w:rPr>
        <w:t>*</w:t>
      </w:r>
      <w:r w:rsidR="00040448" w:rsidRPr="00F53530">
        <w:rPr>
          <w:rFonts w:ascii="Times New Roman" w:hAnsi="Times New Roman"/>
          <w:i/>
        </w:rPr>
        <w:t>Estatuto Tributario.</w:t>
      </w:r>
    </w:p>
    <w:p w14:paraId="045A39A2" w14:textId="2D55F938" w:rsidR="00040448" w:rsidRPr="00F53530" w:rsidRDefault="00280B8A" w:rsidP="00C44821">
      <w:pPr>
        <w:spacing w:before="240" w:after="240" w:line="240" w:lineRule="auto"/>
        <w:jc w:val="both"/>
        <w:rPr>
          <w:rFonts w:ascii="Times New Roman" w:hAnsi="Times New Roman"/>
          <w:i/>
        </w:rPr>
      </w:pPr>
      <w:r w:rsidRPr="00566A8E">
        <w:rPr>
          <w:rFonts w:ascii="Times New Roman" w:hAnsi="Times New Roman"/>
          <w:b/>
          <w:bCs/>
          <w:i/>
        </w:rPr>
        <w:t>PARÁGRAFO 4.</w:t>
      </w:r>
      <w:r w:rsidR="00A03C6F" w:rsidRPr="00F53530">
        <w:rPr>
          <w:rFonts w:ascii="Times New Roman" w:hAnsi="Times New Roman"/>
          <w:i/>
        </w:rPr>
        <w:t xml:space="preserve"> </w:t>
      </w:r>
      <w:r w:rsidR="00040448" w:rsidRPr="00F53530">
        <w:rPr>
          <w:rFonts w:ascii="Times New Roman" w:hAnsi="Times New Roman"/>
          <w:i/>
        </w:rPr>
        <w:t xml:space="preserve">Lo dispuesto en el inciso segundo de este artículo y en los parágrafos primero y segundo no se aplicará a las personas naturales o jurídicas, contribuyentes del impuesto sobre la renta y complementarios, que desarrollen empresas en periodo improductivo. Para estos efectos, se tendrán en cuenta las disposiciones consagradas en los artículos 1.2.1.19.6 al 1.2.1.19.14 del </w:t>
      </w:r>
      <w:hyperlink r:id="rId51" w:history="1">
        <w:r w:rsidR="00040448" w:rsidRPr="00C5581B">
          <w:rPr>
            <w:rStyle w:val="Hipervnculo"/>
            <w:rFonts w:ascii="Times New Roman" w:hAnsi="Times New Roman"/>
            <w:i/>
          </w:rPr>
          <w:t>Decreto 1625 de 2016</w:t>
        </w:r>
      </w:hyperlink>
      <w:r w:rsidR="00040448" w:rsidRPr="00F53530">
        <w:rPr>
          <w:rFonts w:ascii="Times New Roman" w:hAnsi="Times New Roman"/>
          <w:i/>
        </w:rPr>
        <w:t xml:space="preserve"> o las disposiciones que los modifiquen o sustituyan.</w:t>
      </w:r>
    </w:p>
    <w:p w14:paraId="045A39A3" w14:textId="77777777" w:rsidR="00040448" w:rsidRDefault="00280B8A" w:rsidP="00C44821">
      <w:pPr>
        <w:spacing w:before="240" w:after="240" w:line="240" w:lineRule="auto"/>
        <w:jc w:val="both"/>
        <w:rPr>
          <w:rFonts w:ascii="Times New Roman" w:hAnsi="Times New Roman"/>
          <w:i/>
        </w:rPr>
      </w:pPr>
      <w:r w:rsidRPr="00566A8E">
        <w:rPr>
          <w:rFonts w:ascii="Times New Roman" w:hAnsi="Times New Roman"/>
          <w:b/>
          <w:bCs/>
          <w:i/>
        </w:rPr>
        <w:t>PARÁGRAFO 5.</w:t>
      </w:r>
      <w:r w:rsidR="00A03C6F" w:rsidRPr="00F53530">
        <w:rPr>
          <w:rFonts w:ascii="Times New Roman" w:hAnsi="Times New Roman"/>
          <w:i/>
        </w:rPr>
        <w:t xml:space="preserve"> </w:t>
      </w:r>
      <w:r w:rsidR="00040448" w:rsidRPr="00F53530">
        <w:rPr>
          <w:rFonts w:ascii="Times New Roman" w:hAnsi="Times New Roman"/>
          <w:i/>
        </w:rPr>
        <w:t>Lo dispuesto en este artículo no se aplicará a los casos de financiación de proyectos de infraestructura de transporte, ni a la financiación de proyectos de infraestructura de servicios públicos, siempre que dichos proyectos se encuentren a cargo de sociedades, entidades o vehículos de propósito especial.</w:t>
      </w:r>
    </w:p>
    <w:p w14:paraId="045A39A4" w14:textId="77777777" w:rsidR="003978E5" w:rsidRPr="00F53530" w:rsidRDefault="003978E5"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A5" w14:textId="77777777" w:rsidR="00040448" w:rsidRPr="00F53530" w:rsidRDefault="00040448" w:rsidP="00C44821">
      <w:pPr>
        <w:spacing w:before="240" w:after="240" w:line="240" w:lineRule="auto"/>
        <w:jc w:val="both"/>
        <w:rPr>
          <w:rFonts w:ascii="Times New Roman" w:hAnsi="Times New Roman"/>
        </w:rPr>
      </w:pPr>
      <w:r w:rsidRPr="00536A78">
        <w:rPr>
          <w:rFonts w:ascii="Times New Roman" w:hAnsi="Times New Roman"/>
          <w:b/>
          <w:bCs/>
        </w:rPr>
        <w:t>ARTÍCULO 64.</w:t>
      </w:r>
      <w:r w:rsidR="00536A78">
        <w:rPr>
          <w:rFonts w:ascii="Times New Roman" w:hAnsi="Times New Roman"/>
          <w:b/>
          <w:bCs/>
        </w:rPr>
        <w:t xml:space="preserve"> </w:t>
      </w:r>
      <w:r w:rsidRPr="00F53530">
        <w:rPr>
          <w:rFonts w:ascii="Times New Roman" w:hAnsi="Times New Roman"/>
        </w:rPr>
        <w:t xml:space="preserve">Adiciónese el literal c) al artículo 124-1 del </w:t>
      </w:r>
      <w:r w:rsidR="003978E5">
        <w:rPr>
          <w:rFonts w:ascii="Times New Roman" w:hAnsi="Times New Roman"/>
        </w:rPr>
        <w:t>*</w:t>
      </w:r>
      <w:r w:rsidRPr="00F53530">
        <w:rPr>
          <w:rFonts w:ascii="Times New Roman" w:hAnsi="Times New Roman"/>
        </w:rPr>
        <w:t>Estatuto Tributario, el cual quedará así:</w:t>
      </w:r>
    </w:p>
    <w:p w14:paraId="045A39A6"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c) Los intereses y demás costos o gastos financieros atribuidos a un establecimiento permanente en Colombia, que se hayan sometido a retención en la fuente.</w:t>
      </w:r>
    </w:p>
    <w:p w14:paraId="045A39A7" w14:textId="77777777" w:rsidR="003978E5" w:rsidRPr="00F53530" w:rsidRDefault="003978E5"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A8" w14:textId="77777777" w:rsidR="00040448" w:rsidRPr="00F53530" w:rsidRDefault="00040448" w:rsidP="00C44821">
      <w:pPr>
        <w:spacing w:before="240" w:after="240" w:line="240" w:lineRule="auto"/>
        <w:jc w:val="both"/>
        <w:rPr>
          <w:rFonts w:ascii="Times New Roman" w:hAnsi="Times New Roman"/>
        </w:rPr>
      </w:pPr>
      <w:r w:rsidRPr="00536A78">
        <w:rPr>
          <w:rFonts w:ascii="Times New Roman" w:hAnsi="Times New Roman"/>
          <w:b/>
          <w:bCs/>
        </w:rPr>
        <w:t>ARTÍCULO 65.</w:t>
      </w:r>
      <w:r w:rsidR="00536A78">
        <w:rPr>
          <w:rFonts w:ascii="Times New Roman" w:hAnsi="Times New Roman"/>
          <w:b/>
          <w:bCs/>
        </w:rPr>
        <w:t xml:space="preserve"> </w:t>
      </w:r>
      <w:r w:rsidRPr="00F53530">
        <w:rPr>
          <w:rFonts w:ascii="Times New Roman" w:hAnsi="Times New Roman"/>
        </w:rPr>
        <w:t xml:space="preserve">Adiciónese un parágrafo al artículo 401 del </w:t>
      </w:r>
      <w:r w:rsidR="003978E5">
        <w:rPr>
          <w:rFonts w:ascii="Times New Roman" w:hAnsi="Times New Roman"/>
        </w:rPr>
        <w:t>*</w:t>
      </w:r>
      <w:r w:rsidRPr="00F53530">
        <w:rPr>
          <w:rFonts w:ascii="Times New Roman" w:hAnsi="Times New Roman"/>
        </w:rPr>
        <w:t>Estatuto Tributario, el cual quedará así:</w:t>
      </w:r>
    </w:p>
    <w:p w14:paraId="045A39A9" w14:textId="77777777" w:rsidR="00040448" w:rsidRPr="00F53530" w:rsidRDefault="00280B8A" w:rsidP="00C44821">
      <w:pPr>
        <w:spacing w:before="240" w:after="240" w:line="240" w:lineRule="auto"/>
        <w:jc w:val="both"/>
        <w:rPr>
          <w:rFonts w:ascii="Times New Roman" w:hAnsi="Times New Roman"/>
          <w:i/>
        </w:rPr>
      </w:pPr>
      <w:r w:rsidRPr="00EC40D4">
        <w:rPr>
          <w:rFonts w:ascii="Times New Roman" w:hAnsi="Times New Roman"/>
          <w:b/>
          <w:bCs/>
          <w:i/>
        </w:rPr>
        <w:t>PARÁGRAFO.</w:t>
      </w:r>
      <w:r w:rsidR="00A03C6F" w:rsidRPr="00F53530">
        <w:rPr>
          <w:rFonts w:ascii="Times New Roman" w:hAnsi="Times New Roman"/>
          <w:i/>
        </w:rPr>
        <w:t xml:space="preserve"> </w:t>
      </w:r>
      <w:r w:rsidR="00040448" w:rsidRPr="00F53530">
        <w:rPr>
          <w:rFonts w:ascii="Times New Roman" w:hAnsi="Times New Roman"/>
          <w:i/>
        </w:rPr>
        <w:t>Cuando el comprador de un bien inmueble sea una persona jurídica o una sociedad de hecho, la retención en la fuente a título del impuesto sobre la renta constituye un requisito previo para el otorgamiento de la escritura pública o la transferencia de derechos o cuotas representativas de bienes inmuebles.</w:t>
      </w:r>
    </w:p>
    <w:p w14:paraId="045A39AA"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Para estos efectos, la persona jurídica o sociedad de hecho pagará la retención en la fuente mediante recibo oficial de pago y, posteriormente, imputará dicho pago a la declaración de retención en la fuente correspondiente, de tal forma que el notario o la sociedad administradora de la fiducia o fondo, según el caso, pueda verificar el pago como requisito previo al otorgamiento de la escritura pública o la transferencia de derechos o cuotas.</w:t>
      </w:r>
    </w:p>
    <w:p w14:paraId="045A39AB" w14:textId="77777777" w:rsidR="003978E5" w:rsidRPr="00F53530" w:rsidRDefault="003978E5" w:rsidP="00C44821">
      <w:pPr>
        <w:spacing w:before="240" w:after="240" w:line="240" w:lineRule="auto"/>
        <w:jc w:val="both"/>
        <w:rPr>
          <w:rFonts w:ascii="Times New Roman" w:hAnsi="Times New Roman"/>
          <w:i/>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AC" w14:textId="77777777" w:rsidR="00F53530" w:rsidRDefault="00D57785" w:rsidP="00C44821">
      <w:pPr>
        <w:pStyle w:val="Ttulo2"/>
      </w:pPr>
      <w:r w:rsidRPr="00F53530">
        <w:t>CAPÍTULO II</w:t>
      </w:r>
      <w:r w:rsidR="00536A78">
        <w:br/>
      </w:r>
      <w:r w:rsidRPr="00F53530">
        <w:t>ESTABLECIMIENTOS PERMANENTES</w:t>
      </w:r>
    </w:p>
    <w:p w14:paraId="045A39AD" w14:textId="77777777" w:rsidR="00040448" w:rsidRDefault="00040448" w:rsidP="00C44821">
      <w:pPr>
        <w:spacing w:before="240" w:after="240" w:line="240" w:lineRule="auto"/>
        <w:jc w:val="both"/>
        <w:rPr>
          <w:rFonts w:ascii="Times New Roman" w:hAnsi="Times New Roman"/>
        </w:rPr>
      </w:pPr>
      <w:r w:rsidRPr="00485476">
        <w:rPr>
          <w:rFonts w:ascii="Times New Roman" w:hAnsi="Times New Roman"/>
          <w:b/>
          <w:bCs/>
        </w:rPr>
        <w:t>ARTÍCULO 66.</w:t>
      </w:r>
      <w:r w:rsidR="00485476">
        <w:rPr>
          <w:rFonts w:ascii="Times New Roman" w:hAnsi="Times New Roman"/>
          <w:b/>
          <w:bCs/>
        </w:rPr>
        <w:t xml:space="preserve"> </w:t>
      </w:r>
      <w:r w:rsidRPr="00F53530">
        <w:rPr>
          <w:rFonts w:ascii="Times New Roman" w:hAnsi="Times New Roman"/>
        </w:rPr>
        <w:t>Para efectos de lo establecido en los artículos 20</w:t>
      </w:r>
      <w:r w:rsidR="009F6554" w:rsidRPr="00F53530">
        <w:rPr>
          <w:rFonts w:ascii="Times New Roman" w:hAnsi="Times New Roman"/>
        </w:rPr>
        <w:t>,</w:t>
      </w:r>
      <w:r w:rsidRPr="00F53530">
        <w:rPr>
          <w:rFonts w:ascii="Times New Roman" w:hAnsi="Times New Roman"/>
        </w:rPr>
        <w:t xml:space="preserve"> 20-1 y 20-2 del </w:t>
      </w:r>
      <w:r w:rsidR="003978E5">
        <w:rPr>
          <w:rFonts w:ascii="Times New Roman" w:hAnsi="Times New Roman"/>
        </w:rPr>
        <w:t>*</w:t>
      </w:r>
      <w:r w:rsidRPr="00F53530">
        <w:rPr>
          <w:rFonts w:ascii="Times New Roman" w:hAnsi="Times New Roman"/>
        </w:rPr>
        <w:t>Estatuto Tributario, los establecimientos permanentes de individuos, sociedades o entidades extranjeras de cualquier naturaleza, ubicados en el país, serán gravados sobre las rentas y ganancias ocasionales de fuente nacional y extranjera que le sean atribuibles.</w:t>
      </w:r>
    </w:p>
    <w:p w14:paraId="045A39AE" w14:textId="77777777" w:rsidR="003978E5" w:rsidRDefault="003978E5"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AF" w14:textId="77777777" w:rsidR="00D635BA" w:rsidRPr="008D36C3" w:rsidRDefault="00D635BA" w:rsidP="00D635BA">
      <w:pPr>
        <w:spacing w:after="0" w:line="240" w:lineRule="auto"/>
        <w:rPr>
          <w:rFonts w:ascii="Times New Roman" w:hAnsi="Times New Roman"/>
          <w:b/>
          <w:highlight w:val="lightGray"/>
        </w:rPr>
      </w:pPr>
      <w:bookmarkStart w:id="3" w:name="_Hlk145334484"/>
      <w:r w:rsidRPr="008D36C3">
        <w:rPr>
          <w:rFonts w:ascii="Times New Roman" w:hAnsi="Times New Roman"/>
          <w:b/>
          <w:highlight w:val="lightGray"/>
        </w:rPr>
        <w:t>DOCTRINA:</w:t>
      </w:r>
    </w:p>
    <w:p w14:paraId="045A39B0" w14:textId="09C759A7" w:rsidR="00442168" w:rsidRPr="008D36C3" w:rsidRDefault="00442168" w:rsidP="00442168">
      <w:pPr>
        <w:numPr>
          <w:ilvl w:val="0"/>
          <w:numId w:val="13"/>
        </w:numPr>
        <w:spacing w:after="0" w:line="240" w:lineRule="auto"/>
        <w:jc w:val="both"/>
        <w:rPr>
          <w:rFonts w:ascii="Times New Roman" w:hAnsi="Times New Roman"/>
          <w:b/>
          <w:highlight w:val="lightGray"/>
        </w:rPr>
      </w:pPr>
      <w:hyperlink r:id="rId52" w:history="1">
        <w:r w:rsidRPr="008D36C3">
          <w:rPr>
            <w:rStyle w:val="Hipervnculo"/>
            <w:rFonts w:ascii="Times New Roman" w:hAnsi="Times New Roman"/>
            <w:b/>
            <w:highlight w:val="lightGray"/>
          </w:rPr>
          <w:t>CONCEPTO 2023003343 DE 1 DE JUNIO DE 2023</w:t>
        </w:r>
      </w:hyperlink>
      <w:r w:rsidRPr="008D36C3">
        <w:rPr>
          <w:rFonts w:ascii="Times New Roman" w:hAnsi="Times New Roman"/>
          <w:b/>
          <w:highlight w:val="lightGray"/>
        </w:rPr>
        <w:t xml:space="preserve">. DIAN. </w:t>
      </w:r>
      <w:r w:rsidRPr="008D36C3">
        <w:rPr>
          <w:rFonts w:ascii="Times New Roman" w:hAnsi="Times New Roman"/>
          <w:bCs/>
          <w:i/>
          <w:iCs/>
          <w:highlight w:val="lightGray"/>
        </w:rPr>
        <w:t>Ante la fusión de sociedades extranjeras, cada una con establecimientos permanentes o sucursales en el país, se aclara que la sociedad absorbente o resultante de este proceso de reorganización empresarial podría compensar las pérdidas fiscales que se hubiesen liquidado en cabeza de alguno de estos establecimientos permanentes o sucursales, como consecuencia de la integración patrimonial, para lo cual debe atenderse el estudio de atribución de rentas.</w:t>
      </w:r>
    </w:p>
    <w:bookmarkEnd w:id="3"/>
    <w:p w14:paraId="045A39B1" w14:textId="77777777" w:rsidR="00442168" w:rsidRPr="008D36C3" w:rsidRDefault="00442168" w:rsidP="00442168">
      <w:pPr>
        <w:spacing w:after="0" w:line="240" w:lineRule="auto"/>
        <w:ind w:left="720"/>
        <w:jc w:val="both"/>
        <w:rPr>
          <w:rFonts w:ascii="Times New Roman" w:hAnsi="Times New Roman"/>
          <w:b/>
          <w:highlight w:val="lightGray"/>
        </w:rPr>
      </w:pPr>
    </w:p>
    <w:p w14:paraId="045A39B2" w14:textId="1E7B0D90" w:rsidR="00777E4D" w:rsidRPr="008D36C3" w:rsidRDefault="00777E4D" w:rsidP="00777E4D">
      <w:pPr>
        <w:numPr>
          <w:ilvl w:val="0"/>
          <w:numId w:val="13"/>
        </w:numPr>
        <w:spacing w:after="0" w:line="240" w:lineRule="auto"/>
        <w:jc w:val="both"/>
        <w:rPr>
          <w:rFonts w:ascii="Times New Roman" w:hAnsi="Times New Roman"/>
          <w:b/>
          <w:highlight w:val="lightGray"/>
        </w:rPr>
      </w:pPr>
      <w:hyperlink r:id="rId53" w:history="1">
        <w:r w:rsidRPr="008D36C3">
          <w:rPr>
            <w:rStyle w:val="Hipervnculo"/>
            <w:rFonts w:ascii="Times New Roman" w:eastAsia="Times New Roman" w:hAnsi="Times New Roman"/>
            <w:b/>
            <w:bCs/>
            <w:highlight w:val="lightGray"/>
            <w:lang w:eastAsia="es-CO"/>
          </w:rPr>
          <w:t>OFICIO 913889 DE 10 DE NOVIEMBRE DE 2021</w:t>
        </w:r>
      </w:hyperlink>
      <w:r w:rsidRPr="008D36C3">
        <w:rPr>
          <w:rFonts w:ascii="Times New Roman" w:eastAsia="Times New Roman" w:hAnsi="Times New Roman"/>
          <w:b/>
          <w:bCs/>
          <w:highlight w:val="lightGray"/>
          <w:lang w:eastAsia="es-CO"/>
        </w:rPr>
        <w:t xml:space="preserve">. DIAN. </w:t>
      </w:r>
      <w:r w:rsidRPr="008D36C3">
        <w:rPr>
          <w:rFonts w:ascii="Times New Roman" w:eastAsia="Times New Roman" w:hAnsi="Times New Roman"/>
          <w:bCs/>
          <w:i/>
          <w:highlight w:val="lightGray"/>
          <w:lang w:eastAsia="es-CO"/>
        </w:rPr>
        <w:t>Régimen tributario aplicable a la venta de obras de arte físicas y non-fungible tokens (NFT) en Colombia.</w:t>
      </w:r>
    </w:p>
    <w:p w14:paraId="045A39B3" w14:textId="77777777" w:rsidR="00777E4D" w:rsidRPr="008D36C3" w:rsidRDefault="00777E4D" w:rsidP="00777E4D">
      <w:pPr>
        <w:spacing w:after="0" w:line="240" w:lineRule="auto"/>
        <w:ind w:left="720"/>
        <w:jc w:val="both"/>
        <w:rPr>
          <w:rFonts w:ascii="Times New Roman" w:hAnsi="Times New Roman"/>
          <w:b/>
          <w:highlight w:val="lightGray"/>
        </w:rPr>
      </w:pPr>
    </w:p>
    <w:p w14:paraId="045A39B4" w14:textId="04A13904" w:rsidR="005A688D" w:rsidRPr="008D36C3" w:rsidRDefault="005A688D" w:rsidP="005A688D">
      <w:pPr>
        <w:numPr>
          <w:ilvl w:val="0"/>
          <w:numId w:val="13"/>
        </w:numPr>
        <w:spacing w:after="0" w:line="240" w:lineRule="auto"/>
        <w:jc w:val="both"/>
        <w:rPr>
          <w:rFonts w:ascii="Times New Roman" w:hAnsi="Times New Roman"/>
          <w:b/>
          <w:highlight w:val="lightGray"/>
        </w:rPr>
      </w:pPr>
      <w:hyperlink r:id="rId54" w:history="1">
        <w:r w:rsidRPr="008D36C3">
          <w:rPr>
            <w:rStyle w:val="Hipervnculo"/>
            <w:rFonts w:ascii="Times New Roman" w:hAnsi="Times New Roman"/>
            <w:b/>
            <w:highlight w:val="lightGray"/>
          </w:rPr>
          <w:t>CONCEPTO 904819 DE 27 DE MAYO DE 2021</w:t>
        </w:r>
      </w:hyperlink>
      <w:r w:rsidRPr="008D36C3">
        <w:rPr>
          <w:rFonts w:ascii="Times New Roman" w:hAnsi="Times New Roman"/>
          <w:b/>
          <w:highlight w:val="lightGray"/>
        </w:rPr>
        <w:t>. DIAN.</w:t>
      </w:r>
      <w:r w:rsidRPr="008D36C3">
        <w:rPr>
          <w:rFonts w:ascii="Times New Roman" w:hAnsi="Times New Roman"/>
          <w:i/>
          <w:highlight w:val="lightGray"/>
        </w:rPr>
        <w:t xml:space="preserve"> Condiciones para determinar que existe un lugar fijo de negocios en Colombia.</w:t>
      </w:r>
    </w:p>
    <w:p w14:paraId="045A39B5" w14:textId="77777777" w:rsidR="005A688D" w:rsidRPr="008D36C3" w:rsidRDefault="005A688D" w:rsidP="005A688D">
      <w:pPr>
        <w:spacing w:after="0" w:line="240" w:lineRule="auto"/>
        <w:ind w:left="720"/>
        <w:jc w:val="both"/>
        <w:rPr>
          <w:rFonts w:ascii="Times New Roman" w:hAnsi="Times New Roman"/>
          <w:b/>
          <w:highlight w:val="lightGray"/>
        </w:rPr>
      </w:pPr>
    </w:p>
    <w:p w14:paraId="045A39B6" w14:textId="613EA026" w:rsidR="00D635BA" w:rsidRPr="008D36C3" w:rsidRDefault="00D635BA" w:rsidP="00D635BA">
      <w:pPr>
        <w:numPr>
          <w:ilvl w:val="0"/>
          <w:numId w:val="13"/>
        </w:numPr>
        <w:spacing w:after="0" w:line="240" w:lineRule="auto"/>
        <w:jc w:val="both"/>
        <w:rPr>
          <w:rFonts w:ascii="Times New Roman" w:hAnsi="Times New Roman"/>
          <w:b/>
          <w:highlight w:val="lightGray"/>
        </w:rPr>
      </w:pPr>
      <w:hyperlink r:id="rId55" w:history="1">
        <w:r w:rsidRPr="008D36C3">
          <w:rPr>
            <w:rStyle w:val="Hipervnculo"/>
            <w:rFonts w:ascii="Times New Roman" w:hAnsi="Times New Roman"/>
            <w:b/>
            <w:highlight w:val="lightGray"/>
          </w:rPr>
          <w:t>CONCEPTO 903008 DE 8 DE ABRIL DE 2021</w:t>
        </w:r>
      </w:hyperlink>
      <w:r w:rsidRPr="008D36C3">
        <w:rPr>
          <w:rFonts w:ascii="Times New Roman" w:hAnsi="Times New Roman"/>
          <w:b/>
          <w:highlight w:val="lightGray"/>
        </w:rPr>
        <w:t xml:space="preserve">. DIAN. </w:t>
      </w:r>
      <w:r w:rsidRPr="008D36C3">
        <w:rPr>
          <w:rFonts w:ascii="Times New Roman" w:hAnsi="Times New Roman"/>
          <w:i/>
          <w:highlight w:val="lightGray"/>
        </w:rPr>
        <w:t>Las pérdidas fiscales únicamente tienen reconocimiento en el plano tributario del establecimiento permanente y no son transferibles con ocasión de la enajenación del establecimiento de comercio.</w:t>
      </w:r>
    </w:p>
    <w:p w14:paraId="045A39B7" w14:textId="77777777" w:rsidR="00F53530" w:rsidRDefault="00D57785" w:rsidP="00C44821">
      <w:pPr>
        <w:pStyle w:val="Ttulo2"/>
      </w:pPr>
      <w:r w:rsidRPr="00F53530">
        <w:t>CAPÍTULO III</w:t>
      </w:r>
      <w:r w:rsidR="00485476">
        <w:br/>
      </w:r>
      <w:r w:rsidR="00040448" w:rsidRPr="00F53530">
        <w:t>ENT</w:t>
      </w:r>
      <w:r w:rsidRPr="00F53530">
        <w:t>IDADES CONTROLADAS DEL EXTERIOR</w:t>
      </w:r>
    </w:p>
    <w:p w14:paraId="045A39B8" w14:textId="77777777" w:rsidR="00040448" w:rsidRPr="00F53530" w:rsidRDefault="00040448" w:rsidP="00C44821">
      <w:pPr>
        <w:spacing w:before="240" w:after="240" w:line="240" w:lineRule="auto"/>
        <w:jc w:val="both"/>
        <w:rPr>
          <w:rFonts w:ascii="Times New Roman" w:hAnsi="Times New Roman"/>
        </w:rPr>
      </w:pPr>
      <w:r w:rsidRPr="00485476">
        <w:rPr>
          <w:rFonts w:ascii="Times New Roman" w:hAnsi="Times New Roman"/>
          <w:b/>
          <w:bCs/>
        </w:rPr>
        <w:t>ARTÍCULO 67.</w:t>
      </w:r>
      <w:r w:rsidR="00485476">
        <w:rPr>
          <w:rFonts w:ascii="Times New Roman" w:hAnsi="Times New Roman"/>
          <w:b/>
          <w:bCs/>
        </w:rPr>
        <w:t xml:space="preserve"> </w:t>
      </w:r>
      <w:r w:rsidRPr="00F53530">
        <w:rPr>
          <w:rFonts w:ascii="Times New Roman" w:hAnsi="Times New Roman"/>
        </w:rPr>
        <w:t xml:space="preserve">Modifíquese el artículo 885 del </w:t>
      </w:r>
      <w:r w:rsidR="003978E5">
        <w:rPr>
          <w:rFonts w:ascii="Times New Roman" w:hAnsi="Times New Roman"/>
        </w:rPr>
        <w:t>*</w:t>
      </w:r>
      <w:r w:rsidRPr="00F53530">
        <w:rPr>
          <w:rFonts w:ascii="Times New Roman" w:hAnsi="Times New Roman"/>
        </w:rPr>
        <w:t>Estatuto Tributario, el cual quedará así:</w:t>
      </w:r>
    </w:p>
    <w:p w14:paraId="045A39B9" w14:textId="77777777" w:rsidR="00040448" w:rsidRPr="00F53530" w:rsidRDefault="00040448" w:rsidP="00C44821">
      <w:pPr>
        <w:spacing w:before="240" w:after="240" w:line="240" w:lineRule="auto"/>
        <w:jc w:val="both"/>
        <w:rPr>
          <w:rFonts w:ascii="Times New Roman" w:hAnsi="Times New Roman"/>
          <w:i/>
        </w:rPr>
      </w:pPr>
      <w:r w:rsidRPr="00EC40D4">
        <w:rPr>
          <w:rFonts w:ascii="Times New Roman" w:hAnsi="Times New Roman"/>
          <w:b/>
          <w:bCs/>
          <w:i/>
        </w:rPr>
        <w:t>Artículo 885</w:t>
      </w:r>
      <w:r w:rsidR="00280B8A" w:rsidRPr="00EC40D4">
        <w:rPr>
          <w:rFonts w:ascii="Times New Roman" w:hAnsi="Times New Roman"/>
          <w:b/>
          <w:bCs/>
          <w:i/>
        </w:rPr>
        <w:t>.</w:t>
      </w:r>
      <w:r w:rsidRPr="00EC40D4">
        <w:rPr>
          <w:rFonts w:ascii="Times New Roman" w:hAnsi="Times New Roman"/>
          <w:b/>
          <w:bCs/>
          <w:i/>
        </w:rPr>
        <w:t xml:space="preserve"> Presunciones de pleno derecho</w:t>
      </w:r>
      <w:r w:rsidRPr="00F53530">
        <w:rPr>
          <w:rFonts w:ascii="Times New Roman" w:hAnsi="Times New Roman"/>
          <w:i/>
        </w:rPr>
        <w:t>. Se presume de pleno derecho que:</w:t>
      </w:r>
    </w:p>
    <w:p w14:paraId="045A39B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Cuando los ingresos pasivos de la ECE representan un 80% o más de los ingresos totales de la ECE, que la totalidad de los ingresos, costos y deducciones de la ECE darán origen a rentas pasivas.</w:t>
      </w:r>
    </w:p>
    <w:p w14:paraId="045A39BB"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2. Cuando los ingresos activos o de actividades económicas reales de la ECE representan un 80% o más de los ingresos totales de la ECE, que la totalidad de los ingresos, costos y deducciones de la ECE darán origen a rentas activas.</w:t>
      </w:r>
    </w:p>
    <w:p w14:paraId="045A39BC" w14:textId="77777777" w:rsidR="003978E5" w:rsidRPr="00F53530" w:rsidRDefault="003978E5"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BD" w14:textId="77777777" w:rsidR="00F53530" w:rsidRDefault="00040448" w:rsidP="00C44821">
      <w:pPr>
        <w:pStyle w:val="Ttulo2"/>
      </w:pPr>
      <w:r w:rsidRPr="00F53530">
        <w:lastRenderedPageBreak/>
        <w:t>CAPÍTULO IV</w:t>
      </w:r>
      <w:r w:rsidR="00485476">
        <w:br/>
      </w:r>
      <w:r w:rsidRPr="00F53530">
        <w:t>FONDOS DE CAPITAL PRIVADO</w:t>
      </w:r>
    </w:p>
    <w:p w14:paraId="045A39BE" w14:textId="77777777" w:rsidR="00040448" w:rsidRPr="00F53530" w:rsidRDefault="00040448" w:rsidP="00C44821">
      <w:pPr>
        <w:spacing w:before="240" w:after="240" w:line="240" w:lineRule="auto"/>
        <w:jc w:val="both"/>
        <w:rPr>
          <w:rFonts w:ascii="Times New Roman" w:hAnsi="Times New Roman"/>
        </w:rPr>
      </w:pPr>
      <w:r w:rsidRPr="00485476">
        <w:rPr>
          <w:rFonts w:ascii="Times New Roman" w:hAnsi="Times New Roman"/>
          <w:b/>
          <w:bCs/>
        </w:rPr>
        <w:t>ARTÍCULO 68.</w:t>
      </w:r>
      <w:r w:rsidR="00485476">
        <w:rPr>
          <w:rFonts w:ascii="Times New Roman" w:hAnsi="Times New Roman"/>
        </w:rPr>
        <w:t xml:space="preserve"> </w:t>
      </w:r>
      <w:r w:rsidRPr="00F53530">
        <w:rPr>
          <w:rFonts w:ascii="Times New Roman" w:hAnsi="Times New Roman"/>
        </w:rPr>
        <w:t xml:space="preserve">Modifíquese el artículo 23-1 del </w:t>
      </w:r>
      <w:r w:rsidR="003978E5">
        <w:rPr>
          <w:rFonts w:ascii="Times New Roman" w:hAnsi="Times New Roman"/>
        </w:rPr>
        <w:t>*</w:t>
      </w:r>
      <w:r w:rsidRPr="00F53530">
        <w:rPr>
          <w:rFonts w:ascii="Times New Roman" w:hAnsi="Times New Roman"/>
        </w:rPr>
        <w:t>Estatuto Tributario, el cual quedará así:</w:t>
      </w:r>
    </w:p>
    <w:p w14:paraId="045A39BF" w14:textId="77777777" w:rsidR="00040448" w:rsidRPr="00F53530" w:rsidRDefault="00040448" w:rsidP="00C44821">
      <w:pPr>
        <w:spacing w:before="240" w:after="240" w:line="240" w:lineRule="auto"/>
        <w:jc w:val="both"/>
        <w:rPr>
          <w:rFonts w:ascii="Times New Roman" w:hAnsi="Times New Roman"/>
          <w:i/>
        </w:rPr>
      </w:pPr>
      <w:r w:rsidRPr="00EC40D4">
        <w:rPr>
          <w:rFonts w:ascii="Times New Roman" w:hAnsi="Times New Roman"/>
          <w:b/>
          <w:bCs/>
          <w:i/>
        </w:rPr>
        <w:t>Artículo 23-1</w:t>
      </w:r>
      <w:r w:rsidR="00280B8A" w:rsidRPr="00EC40D4">
        <w:rPr>
          <w:rFonts w:ascii="Times New Roman" w:hAnsi="Times New Roman"/>
          <w:b/>
          <w:bCs/>
          <w:i/>
        </w:rPr>
        <w:t>.</w:t>
      </w:r>
      <w:r w:rsidRPr="00EC40D4">
        <w:rPr>
          <w:rFonts w:ascii="Times New Roman" w:hAnsi="Times New Roman"/>
          <w:b/>
          <w:bCs/>
          <w:i/>
        </w:rPr>
        <w:t xml:space="preserve"> No son contribuyentes los fondos de capital privado, los fondos de inversión colectiva y otros. </w:t>
      </w:r>
      <w:r w:rsidRPr="00F53530">
        <w:rPr>
          <w:rFonts w:ascii="Times New Roman" w:hAnsi="Times New Roman"/>
          <w:i/>
        </w:rPr>
        <w:t>No son contribuyentes del impuesto sobre la renta y complementarios los fondos de capital privado y los fondos de inversión colectiva, administrados por una entidad autorizada para tal efecto.</w:t>
      </w:r>
    </w:p>
    <w:p w14:paraId="045A39C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remuneración que reciba por su labor la entidad que administre el fondo constituye un ingreso gravable para la misma y estará sujeta a retención en la fuente.</w:t>
      </w:r>
    </w:p>
    <w:p w14:paraId="045A39C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ingresos del fondo de capital privado o de inversión colectiva, previa deducción de los gastos a cargo del mismo y de la contraprestación de la sociedad administradora, se distribuirán entre los suscriptores o partícipes, al mismo título que los haya recibido el fondo de capital privado o de inversión colectiva y en las mismas condiciones tributarias que tendrían si fueran percibidos directamente por el suscriptor o partícipe.</w:t>
      </w:r>
    </w:p>
    <w:p w14:paraId="045A39C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No obstante lo anterior, la realización de las rentas para los beneficiarios o partícipes de un fondo solo se diferirá hasta el momento de la distribución de las utilidades, inclusive en un periodo gravable distinto a aquel en el cual el fondo de capital privado o los fondos de inversión colectiva han devengado contablemente el respectivo ingreso, en los siguientes casos:</w:t>
      </w:r>
    </w:p>
    <w:p w14:paraId="045A39C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Cuando las participaciones del Fondo sean negociadas en una bolsa de valores sometida a la inspección y vigilancia de la Superintendencia Financiera de Colombia, o</w:t>
      </w:r>
    </w:p>
    <w:p w14:paraId="045A39C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Cuando el fondo cumpla con los siguientes requisitos:</w:t>
      </w:r>
    </w:p>
    <w:p w14:paraId="045A39C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No ser poseído directa o indirectamente, en más de un 50%, por un mismo beneficiario efectivo, o grupo inversionista vinculado económicamente o por miembros de una misma familia hasta un 4 grado de consanguinidad o afinidad, que sean contribuyentes del impuesto sobre la renta; y</w:t>
      </w:r>
    </w:p>
    <w:p w14:paraId="045A39C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Cuando ninguno de los beneficiarios efectivos del fondo o grupo inversionista vinculado o grupo familiar, de manera individual o conjunta, tenga control o discrecionalidad sobre las distribuciones del mismo.</w:t>
      </w:r>
    </w:p>
    <w:p w14:paraId="045A39C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los casos en que el propósito principal para la creación del fondo sea el diferimiento de impuestos, como sucede con la estructuración de un fondo con el propósito de realizar una transacción particular de venta de uno o varios activos, las rentas de los partícipes se causarán en el mismo ejercicio en que son percibidas por el fondo, con independencia de que se cumpla con los requisitos señalados en los literales a) y b) anteriores.</w:t>
      </w:r>
    </w:p>
    <w:p w14:paraId="045A39C8" w14:textId="77777777" w:rsidR="00040448" w:rsidRPr="00F53530" w:rsidRDefault="00280B8A" w:rsidP="00C44821">
      <w:pPr>
        <w:spacing w:before="240" w:after="240" w:line="240" w:lineRule="auto"/>
        <w:jc w:val="both"/>
        <w:rPr>
          <w:rFonts w:ascii="Times New Roman" w:hAnsi="Times New Roman"/>
          <w:i/>
        </w:rPr>
      </w:pPr>
      <w:r w:rsidRPr="004F2193">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Lo dispuesto en el numeral 2 del inciso 4 de este artículo no aplicará para aquellos fondos que tengan por objeto exclusivo desarrollar nuevos emprendimientos innovadores y recaudar capitales de riesgo para dicho propósito.</w:t>
      </w:r>
    </w:p>
    <w:p w14:paraId="045A39C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estos efectos, el valor de la inversión en el fondo tiene que ser inferior a seiscientos mil (600.000) UVT, y no puede existir vinculación económica o familiar entre el desarrollador del nuevo emprendimiento y los inversionistas de capital de riesgo.</w:t>
      </w:r>
    </w:p>
    <w:p w14:paraId="045A39CA" w14:textId="77777777" w:rsidR="00040448" w:rsidRPr="00F53530" w:rsidRDefault="00280B8A" w:rsidP="00C44821">
      <w:pPr>
        <w:spacing w:before="240" w:after="240" w:line="240" w:lineRule="auto"/>
        <w:jc w:val="both"/>
        <w:rPr>
          <w:rFonts w:ascii="Times New Roman" w:hAnsi="Times New Roman"/>
          <w:i/>
        </w:rPr>
      </w:pPr>
      <w:r w:rsidRPr="004F2193">
        <w:rPr>
          <w:rFonts w:ascii="Times New Roman" w:hAnsi="Times New Roman"/>
          <w:b/>
          <w:bCs/>
          <w:i/>
        </w:rPr>
        <w:lastRenderedPageBreak/>
        <w:t>PARÁGRAFO 2.</w:t>
      </w:r>
      <w:r w:rsidRPr="00F53530">
        <w:rPr>
          <w:rFonts w:ascii="Times New Roman" w:hAnsi="Times New Roman"/>
          <w:i/>
        </w:rPr>
        <w:t xml:space="preserve"> </w:t>
      </w:r>
      <w:r w:rsidR="00040448" w:rsidRPr="00F53530">
        <w:rPr>
          <w:rFonts w:ascii="Times New Roman" w:hAnsi="Times New Roman"/>
          <w:i/>
        </w:rPr>
        <w:t xml:space="preserve">No son contribuyentes del impuesto sobre la renta y complementarios, los fondos parafiscales </w:t>
      </w:r>
      <w:r w:rsidR="00040448" w:rsidRPr="00637743">
        <w:rPr>
          <w:rFonts w:ascii="Times New Roman" w:hAnsi="Times New Roman"/>
          <w:i/>
          <w:u w:val="single"/>
        </w:rPr>
        <w:t>agropecuarios y pesqueros, y el Fondo de Promoción Turística</w:t>
      </w:r>
      <w:r w:rsidR="00040448" w:rsidRPr="00F53530">
        <w:rPr>
          <w:rFonts w:ascii="Times New Roman" w:hAnsi="Times New Roman"/>
          <w:i/>
        </w:rPr>
        <w:t>. Los anteriores fondos que administran recursos públicos están sujetos a control fiscal.</w:t>
      </w:r>
    </w:p>
    <w:p w14:paraId="045A39CB" w14:textId="77777777" w:rsidR="00040448" w:rsidRPr="00F53530" w:rsidRDefault="00280B8A" w:rsidP="00C44821">
      <w:pPr>
        <w:spacing w:before="240" w:after="240" w:line="240" w:lineRule="auto"/>
        <w:jc w:val="both"/>
        <w:rPr>
          <w:rFonts w:ascii="Times New Roman" w:hAnsi="Times New Roman"/>
          <w:i/>
        </w:rPr>
      </w:pPr>
      <w:r w:rsidRPr="004F2193">
        <w:rPr>
          <w:rFonts w:ascii="Times New Roman" w:hAnsi="Times New Roman"/>
          <w:b/>
          <w:bCs/>
          <w:i/>
        </w:rPr>
        <w:t>PARÁGRAFO 3.</w:t>
      </w:r>
      <w:r w:rsidR="00A03C6F" w:rsidRPr="00F53530">
        <w:rPr>
          <w:rFonts w:ascii="Times New Roman" w:hAnsi="Times New Roman"/>
          <w:i/>
        </w:rPr>
        <w:t xml:space="preserve"> </w:t>
      </w:r>
      <w:r w:rsidR="00040448" w:rsidRPr="00F53530">
        <w:rPr>
          <w:rFonts w:ascii="Times New Roman" w:hAnsi="Times New Roman"/>
          <w:i/>
        </w:rPr>
        <w:t>Lo dispuesto en el literal b) del numeral segundo del inciso 4 de este artículo no será aplicable al gestor, siempre y cuando no exista vinculación económica entre el gestor y los beneficiarios o inversionistas mayoritarios el fondo de capital privado o de inversión colectiva.</w:t>
      </w:r>
    </w:p>
    <w:p w14:paraId="045A39CC" w14:textId="77777777" w:rsidR="00040448" w:rsidRPr="00F53530" w:rsidRDefault="00280B8A" w:rsidP="00C44821">
      <w:pPr>
        <w:spacing w:before="240" w:after="240" w:line="240" w:lineRule="auto"/>
        <w:jc w:val="both"/>
        <w:rPr>
          <w:rFonts w:ascii="Times New Roman" w:hAnsi="Times New Roman"/>
          <w:i/>
        </w:rPr>
      </w:pPr>
      <w:r w:rsidRPr="004F2193">
        <w:rPr>
          <w:rFonts w:ascii="Times New Roman" w:hAnsi="Times New Roman"/>
          <w:b/>
          <w:bCs/>
          <w:i/>
        </w:rPr>
        <w:t>PARÁGRAFO 4.</w:t>
      </w:r>
      <w:r w:rsidRPr="00F53530">
        <w:rPr>
          <w:rFonts w:ascii="Times New Roman" w:hAnsi="Times New Roman"/>
          <w:i/>
        </w:rPr>
        <w:t xml:space="preserve"> </w:t>
      </w:r>
      <w:r w:rsidR="00040448" w:rsidRPr="00F53530">
        <w:rPr>
          <w:rFonts w:ascii="Times New Roman" w:hAnsi="Times New Roman"/>
          <w:i/>
        </w:rPr>
        <w:t xml:space="preserve">Para todos los efectos fiscales regulados en el </w:t>
      </w:r>
      <w:r w:rsidR="003978E5">
        <w:rPr>
          <w:rFonts w:ascii="Times New Roman" w:hAnsi="Times New Roman"/>
          <w:i/>
        </w:rPr>
        <w:t>*</w:t>
      </w:r>
      <w:r w:rsidR="00040448" w:rsidRPr="00F53530">
        <w:rPr>
          <w:rFonts w:ascii="Times New Roman" w:hAnsi="Times New Roman"/>
          <w:i/>
        </w:rPr>
        <w:t>Estatuto Tributario, incluyendo para efectos de los artículos 631-5 y 631-6</w:t>
      </w:r>
      <w:r w:rsidR="009F6554" w:rsidRPr="00F53530">
        <w:rPr>
          <w:rFonts w:ascii="Times New Roman" w:hAnsi="Times New Roman"/>
          <w:i/>
        </w:rPr>
        <w:t>,</w:t>
      </w:r>
      <w:r w:rsidR="00040448" w:rsidRPr="00F53530">
        <w:rPr>
          <w:rFonts w:ascii="Times New Roman" w:hAnsi="Times New Roman"/>
          <w:i/>
        </w:rPr>
        <w:t xml:space="preserve"> se entiende por beneficiario efectivo, final o real, toda persona natural que en último término posea, controle o se beneficie directa o indirectamente de una persona jurídica o estructura sin personería jurídica. Se entiende que una persona natural es beneficiario efectivo, final o real, cuando cumpla con cualquiera de las siguientes condiciones:</w:t>
      </w:r>
    </w:p>
    <w:p w14:paraId="045A39C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Persona natural que directa y/o indirectamente, posea el 5% o más del capital o los derechos de voto de la persona jurídica o estructura sin personería jurídica, o</w:t>
      </w:r>
    </w:p>
    <w:p w14:paraId="045A39C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b) Persona natural que, de forma individual o considerando su grupo familiar hasta un 4 grado de consanguinidad o afinidad, ejerce control directo y/o indirecto sobre la persona jurídica o estructura sin personería jurídica. El control se determinará, considerando los artículos 260 y 261 del </w:t>
      </w:r>
      <w:r w:rsidR="00805988">
        <w:rPr>
          <w:rFonts w:ascii="Times New Roman" w:hAnsi="Times New Roman"/>
          <w:i/>
        </w:rPr>
        <w:t>*</w:t>
      </w:r>
      <w:r w:rsidRPr="00F53530">
        <w:rPr>
          <w:rFonts w:ascii="Times New Roman" w:hAnsi="Times New Roman"/>
          <w:i/>
        </w:rPr>
        <w:t xml:space="preserve">Código de Comercio, el artículo 260-1 del </w:t>
      </w:r>
      <w:r w:rsidR="003978E5">
        <w:rPr>
          <w:rFonts w:ascii="Times New Roman" w:hAnsi="Times New Roman"/>
          <w:i/>
        </w:rPr>
        <w:t>*</w:t>
      </w:r>
      <w:r w:rsidRPr="00F53530">
        <w:rPr>
          <w:rFonts w:ascii="Times New Roman" w:hAnsi="Times New Roman"/>
          <w:i/>
        </w:rPr>
        <w:t>Estatuto Tributario y demás normas que los modifiquen o complementen, aplicando el siguiente procedimiento:</w:t>
      </w:r>
    </w:p>
    <w:p w14:paraId="045A39C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i. Persona natural que tenga directa y/o indirectamente en última instancia el control material y/o interés o participación controlante sobre la propiedad,</w:t>
      </w:r>
    </w:p>
    <w:p w14:paraId="045A39D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ii. En caso de que no se tenga certeza que la persona natural identificada en el paso (i) corresponda al beneficiario efectivo, final o real, se deberá identificar la persona natural que tenga control sobre la persona jurídica o estructura sin personería jurídica por cualquier otro medio,</w:t>
      </w:r>
    </w:p>
    <w:p w14:paraId="045A39D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iii. En caso de que no se identifique la persona natural en los pasos (i) y (ii), se deberá identificar la persona natural que ostente el cargo de funcionario de más alta gerencia o dirección dentro la persona jurídica o estructura sin personería jurídica, o</w:t>
      </w:r>
    </w:p>
    <w:p w14:paraId="045A39D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Persona natural que se beneficie en 5% o más de los rendimientos, utilidades o activos de la persona jurídica o estructura sin personería jurídica.</w:t>
      </w:r>
    </w:p>
    <w:p w14:paraId="045A39D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Créase el Registro Único de Beneficiarios Efectivos, Finales o Reales (RUB), cuyo funcionamiento y administración estará a cargo de la Dirección de Impuestos y Aduanas Nacionales (DIAN) y se implementará mediante resolución expedida por dicha entidad y que busque la interoperabilidad con el Registro Único Tributario (RUT).</w:t>
      </w:r>
    </w:p>
    <w:p w14:paraId="045A39D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El régimen sancionatorio será el previsto en el artículo 651 del </w:t>
      </w:r>
      <w:r w:rsidR="003978E5">
        <w:rPr>
          <w:rFonts w:ascii="Times New Roman" w:hAnsi="Times New Roman"/>
          <w:i/>
        </w:rPr>
        <w:t>*</w:t>
      </w:r>
      <w:r w:rsidRPr="00F53530">
        <w:rPr>
          <w:rFonts w:ascii="Times New Roman" w:hAnsi="Times New Roman"/>
          <w:i/>
        </w:rPr>
        <w:t>Estatuto Tributario cuando no se entregue esta información o se entregue de manera errónea, bajo requerimiento de la Dirección de Impuestos y Aduanas Nacionales (DIAN), y el previsto en el artículo 658-3 de este Estatuto cuando no se cumpla la obligación de registro y actualización del RUB.</w:t>
      </w:r>
    </w:p>
    <w:p w14:paraId="045A39D5" w14:textId="29D36D3E" w:rsidR="00040448" w:rsidRDefault="00280B8A" w:rsidP="00C44821">
      <w:pPr>
        <w:spacing w:before="240" w:after="240" w:line="240" w:lineRule="auto"/>
        <w:jc w:val="both"/>
        <w:rPr>
          <w:rFonts w:ascii="Times New Roman" w:hAnsi="Times New Roman"/>
          <w:i/>
        </w:rPr>
      </w:pPr>
      <w:r w:rsidRPr="00992A25">
        <w:rPr>
          <w:rFonts w:ascii="Times New Roman" w:hAnsi="Times New Roman"/>
          <w:b/>
          <w:bCs/>
          <w:i/>
        </w:rPr>
        <w:t>PARÁGRAFO TRANSITORIO.</w:t>
      </w:r>
      <w:r w:rsidR="00A03C6F" w:rsidRPr="00992A25">
        <w:rPr>
          <w:rFonts w:ascii="Times New Roman" w:hAnsi="Times New Roman"/>
          <w:b/>
          <w:bCs/>
          <w:i/>
        </w:rPr>
        <w:t xml:space="preserve"> </w:t>
      </w:r>
      <w:r w:rsidR="00040448" w:rsidRPr="00F53530">
        <w:rPr>
          <w:rFonts w:ascii="Times New Roman" w:hAnsi="Times New Roman"/>
          <w:i/>
        </w:rPr>
        <w:t xml:space="preserve">Los Fondos de Capital Privado y los Fondos de Inversión Colectiva que se encuentren vigentes a 31 de diciembre de 2018, continuarán rigiéndose por lo dispuesto en la </w:t>
      </w:r>
      <w:hyperlink r:id="rId56" w:history="1">
        <w:r w:rsidR="00040448" w:rsidRPr="003159CD">
          <w:rPr>
            <w:rStyle w:val="Hipervnculo"/>
            <w:rFonts w:ascii="Times New Roman" w:hAnsi="Times New Roman"/>
            <w:i/>
          </w:rPr>
          <w:t>Ley 1607 de 2012</w:t>
        </w:r>
      </w:hyperlink>
      <w:r w:rsidR="00040448" w:rsidRPr="00F53530">
        <w:rPr>
          <w:rFonts w:ascii="Times New Roman" w:hAnsi="Times New Roman"/>
          <w:i/>
        </w:rPr>
        <w:t xml:space="preserve"> y el </w:t>
      </w:r>
      <w:hyperlink r:id="rId57" w:history="1">
        <w:r w:rsidR="00040448" w:rsidRPr="00C5581B">
          <w:rPr>
            <w:rStyle w:val="Hipervnculo"/>
            <w:rFonts w:ascii="Times New Roman" w:hAnsi="Times New Roman"/>
            <w:i/>
          </w:rPr>
          <w:t>Decreto 1848 de 2013</w:t>
        </w:r>
      </w:hyperlink>
      <w:r w:rsidR="00040448" w:rsidRPr="00F53530">
        <w:rPr>
          <w:rFonts w:ascii="Times New Roman" w:hAnsi="Times New Roman"/>
          <w:i/>
        </w:rPr>
        <w:t xml:space="preserve"> hasta el 30 de junio de 2021, fecha a partir de la cual deberán haberse acogido a los requisitos establecidos en los numerales 1 o 2 del inciso 4 de este </w:t>
      </w:r>
      <w:r w:rsidR="00040448" w:rsidRPr="00F53530">
        <w:rPr>
          <w:rFonts w:ascii="Times New Roman" w:hAnsi="Times New Roman"/>
          <w:i/>
        </w:rPr>
        <w:lastRenderedPageBreak/>
        <w:t>artículo, según el caso, para mantener el tratamiento allí consagrado. En caso contrario, las utilidades de los fondos a los que se refiere el inciso 4 de este artículo, que conforme a las disposiciones anteriores se hayan causado en el fondo y se encuentren pendientes de causación fiscal por parte de los partícipes, se entenderán causadas en el año gravable 2021, siempre y cuando no se cumplan los supuestos dispuestos en esta norma para su diferimiento.</w:t>
      </w:r>
    </w:p>
    <w:p w14:paraId="045A39D6" w14:textId="77777777" w:rsidR="003978E5" w:rsidRPr="00F53530" w:rsidRDefault="003978E5"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w:t>
      </w:r>
      <w:r w:rsidR="00805988">
        <w:rPr>
          <w:rFonts w:ascii="Times New Roman" w:hAnsi="Times New Roman"/>
          <w:highlight w:val="green"/>
        </w:rPr>
        <w:t xml:space="preserve"> y al Código de Comercio</w:t>
      </w:r>
      <w:r w:rsidRPr="008D21E5">
        <w:rPr>
          <w:rFonts w:ascii="Times New Roman" w:hAnsi="Times New Roman"/>
          <w:highlight w:val="green"/>
        </w:rPr>
        <w:t>, le sugerimos remitirse a la publicación de nuestro Grupo Editorial Nueva Legislación “Estatuto Tributario Nacional”</w:t>
      </w:r>
      <w:r w:rsidR="00805988">
        <w:rPr>
          <w:rFonts w:ascii="Times New Roman" w:hAnsi="Times New Roman"/>
          <w:highlight w:val="green"/>
        </w:rPr>
        <w:t xml:space="preserve"> y </w:t>
      </w:r>
      <w:r w:rsidR="00805988" w:rsidRPr="008D21E5">
        <w:rPr>
          <w:rFonts w:ascii="Times New Roman" w:hAnsi="Times New Roman"/>
          <w:highlight w:val="green"/>
        </w:rPr>
        <w:t>“</w:t>
      </w:r>
      <w:r w:rsidR="00805988">
        <w:rPr>
          <w:rFonts w:ascii="Times New Roman" w:hAnsi="Times New Roman"/>
          <w:highlight w:val="green"/>
        </w:rPr>
        <w:t>Código de Comercio</w:t>
      </w:r>
      <w:r w:rsidR="00805988" w:rsidRPr="008D21E5">
        <w:rPr>
          <w:rFonts w:ascii="Times New Roman" w:hAnsi="Times New Roman"/>
          <w:highlight w:val="green"/>
        </w:rPr>
        <w:t>”</w:t>
      </w:r>
      <w:r w:rsidRPr="008D21E5">
        <w:rPr>
          <w:rFonts w:ascii="Times New Roman" w:hAnsi="Times New Roman"/>
          <w:highlight w:val="green"/>
        </w:rPr>
        <w:t>.</w:t>
      </w:r>
    </w:p>
    <w:p w14:paraId="045A39D7" w14:textId="69D80B9C" w:rsidR="00637743" w:rsidRPr="00637743" w:rsidRDefault="00637743" w:rsidP="00637743">
      <w:pPr>
        <w:numPr>
          <w:ilvl w:val="0"/>
          <w:numId w:val="20"/>
        </w:numPr>
        <w:spacing w:after="0" w:line="240" w:lineRule="auto"/>
        <w:jc w:val="both"/>
        <w:rPr>
          <w:rFonts w:ascii="Times New Roman" w:hAnsi="Times New Roman"/>
          <w:highlight w:val="cyan"/>
        </w:rPr>
      </w:pPr>
      <w:r w:rsidRPr="00637743">
        <w:rPr>
          <w:rFonts w:ascii="Times New Roman" w:hAnsi="Times New Roman"/>
          <w:highlight w:val="cyan"/>
        </w:rPr>
        <w:t xml:space="preserve">Aparte subrayado del Parágrafo 2 del artículo </w:t>
      </w:r>
      <w:r>
        <w:rPr>
          <w:rFonts w:ascii="Times New Roman" w:hAnsi="Times New Roman"/>
          <w:highlight w:val="cyan"/>
        </w:rPr>
        <w:t xml:space="preserve">68 modificatorio del artículo </w:t>
      </w:r>
      <w:r w:rsidRPr="00637743">
        <w:rPr>
          <w:rFonts w:ascii="Times New Roman" w:hAnsi="Times New Roman"/>
          <w:highlight w:val="cyan"/>
        </w:rPr>
        <w:t xml:space="preserve">23-1 </w:t>
      </w:r>
      <w:r>
        <w:rPr>
          <w:rFonts w:ascii="Times New Roman" w:hAnsi="Times New Roman"/>
          <w:highlight w:val="cyan"/>
        </w:rPr>
        <w:t xml:space="preserve">del Estatuto Tributario </w:t>
      </w:r>
      <w:r w:rsidRPr="00637743">
        <w:rPr>
          <w:rFonts w:ascii="Times New Roman" w:hAnsi="Times New Roman"/>
          <w:highlight w:val="cyan"/>
        </w:rPr>
        <w:t xml:space="preserve">declarado EXEQUIBLE por la Corte Constitucional mediante </w:t>
      </w:r>
      <w:hyperlink r:id="rId58" w:history="1">
        <w:r w:rsidRPr="00637743">
          <w:rPr>
            <w:rStyle w:val="Hipervnculo"/>
            <w:rFonts w:ascii="Times New Roman" w:hAnsi="Times New Roman"/>
            <w:highlight w:val="cyan"/>
          </w:rPr>
          <w:t>Sentencia C-345 de 5 de octubre de 2022</w:t>
        </w:r>
      </w:hyperlink>
      <w:r w:rsidRPr="00637743">
        <w:rPr>
          <w:rFonts w:ascii="Times New Roman" w:hAnsi="Times New Roman"/>
          <w:highlight w:val="cyan"/>
        </w:rPr>
        <w:t>, Magistrado Ponente Dr. Hernán Correa Cardozo.</w:t>
      </w:r>
    </w:p>
    <w:p w14:paraId="045A39D8" w14:textId="77777777" w:rsidR="00040448" w:rsidRPr="00F53530" w:rsidRDefault="00040448" w:rsidP="00C44821">
      <w:pPr>
        <w:spacing w:before="240" w:after="240" w:line="240" w:lineRule="auto"/>
        <w:jc w:val="both"/>
        <w:rPr>
          <w:rFonts w:ascii="Times New Roman" w:hAnsi="Times New Roman"/>
        </w:rPr>
      </w:pPr>
      <w:r w:rsidRPr="00637743">
        <w:rPr>
          <w:rFonts w:ascii="Times New Roman" w:hAnsi="Times New Roman"/>
          <w:b/>
          <w:bCs/>
        </w:rPr>
        <w:t>ARTÍC</w:t>
      </w:r>
      <w:r w:rsidRPr="00485476">
        <w:rPr>
          <w:rFonts w:ascii="Times New Roman" w:hAnsi="Times New Roman"/>
          <w:b/>
          <w:bCs/>
        </w:rPr>
        <w:t>ULO 69.</w:t>
      </w:r>
      <w:r w:rsidR="00485476">
        <w:rPr>
          <w:rFonts w:ascii="Times New Roman" w:hAnsi="Times New Roman"/>
          <w:b/>
          <w:bCs/>
        </w:rPr>
        <w:t xml:space="preserve"> </w:t>
      </w:r>
      <w:r w:rsidRPr="00F53530">
        <w:rPr>
          <w:rFonts w:ascii="Times New Roman" w:hAnsi="Times New Roman"/>
        </w:rPr>
        <w:t xml:space="preserve">Modifíquese el artículo 368-1 del </w:t>
      </w:r>
      <w:r w:rsidR="003978E5">
        <w:rPr>
          <w:rFonts w:ascii="Times New Roman" w:hAnsi="Times New Roman"/>
        </w:rPr>
        <w:t>*</w:t>
      </w:r>
      <w:r w:rsidRPr="00F53530">
        <w:rPr>
          <w:rFonts w:ascii="Times New Roman" w:hAnsi="Times New Roman"/>
        </w:rPr>
        <w:t>Estatuto Tributario, el cual quedará así:</w:t>
      </w:r>
    </w:p>
    <w:p w14:paraId="045A39D9" w14:textId="77777777" w:rsidR="00040448" w:rsidRPr="00F53530" w:rsidRDefault="00040448" w:rsidP="00C44821">
      <w:pPr>
        <w:spacing w:before="240" w:after="240" w:line="240" w:lineRule="auto"/>
        <w:jc w:val="both"/>
        <w:rPr>
          <w:rFonts w:ascii="Times New Roman" w:hAnsi="Times New Roman"/>
          <w:i/>
        </w:rPr>
      </w:pPr>
      <w:r w:rsidRPr="00992A25">
        <w:rPr>
          <w:rFonts w:ascii="Times New Roman" w:hAnsi="Times New Roman"/>
          <w:b/>
          <w:bCs/>
          <w:i/>
        </w:rPr>
        <w:t>Artículo 368-1</w:t>
      </w:r>
      <w:r w:rsidR="00280B8A" w:rsidRPr="00992A25">
        <w:rPr>
          <w:rFonts w:ascii="Times New Roman" w:hAnsi="Times New Roman"/>
          <w:b/>
          <w:bCs/>
          <w:i/>
        </w:rPr>
        <w:t>.</w:t>
      </w:r>
      <w:r w:rsidRPr="00992A25">
        <w:rPr>
          <w:rFonts w:ascii="Times New Roman" w:hAnsi="Times New Roman"/>
          <w:b/>
          <w:bCs/>
          <w:i/>
        </w:rPr>
        <w:t xml:space="preserve"> Retención sobre distribución de ingresos por los fondos a que se refiere el artículo 23-1 del </w:t>
      </w:r>
      <w:r w:rsidR="003978E5" w:rsidRPr="00992A25">
        <w:rPr>
          <w:rFonts w:ascii="Times New Roman" w:hAnsi="Times New Roman"/>
          <w:b/>
          <w:bCs/>
          <w:i/>
        </w:rPr>
        <w:t>*</w:t>
      </w:r>
      <w:r w:rsidRPr="00992A25">
        <w:rPr>
          <w:rFonts w:ascii="Times New Roman" w:hAnsi="Times New Roman"/>
          <w:b/>
          <w:bCs/>
          <w:i/>
        </w:rPr>
        <w:t>Estatuto Tributario.</w:t>
      </w:r>
      <w:r w:rsidRPr="00F53530">
        <w:rPr>
          <w:rFonts w:ascii="Times New Roman" w:hAnsi="Times New Roman"/>
          <w:i/>
        </w:rPr>
        <w:t xml:space="preserve"> Los fondos de que trata el artículo 23-1 de este Estatuto o las sociedades que los administren o las entidades financieras que realicen pagos a los inversionistas, según lo establezca el Gobierno nacional, efectuarán la retención en la fuente que corresponda a los ingresos que distribuyan entre los suscriptores o partícipes, al momento del pago, salvo en los casos en los que no se admita el diferimiento del ingreso, en los términos establecidos en la norma. En este último caso la retención deberá realizarse conforme a las normas que son aplicables en los contratos de fiducia mercantil, al momento de la realización del ingreso. Los agentes de retención serán los responsables de confirmar la procedencia de beneficio del diferimiento del ingreso y el cumplimiento de los requisitos establecidos en el artículo 23-1 del </w:t>
      </w:r>
      <w:r w:rsidR="003978E5">
        <w:rPr>
          <w:rFonts w:ascii="Times New Roman" w:hAnsi="Times New Roman"/>
          <w:i/>
        </w:rPr>
        <w:t>*</w:t>
      </w:r>
      <w:r w:rsidRPr="00F53530">
        <w:rPr>
          <w:rFonts w:ascii="Times New Roman" w:hAnsi="Times New Roman"/>
          <w:i/>
        </w:rPr>
        <w:t>Estatuto Tributario.</w:t>
      </w:r>
    </w:p>
    <w:p w14:paraId="045A39D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Cuando el pago se haga a una persona sin residencia en el país o a una sociedad o entidad extranjera sin domicilio principal en el país, la retención en la fuente a título del impuesto sobre la renta y complementarios se hará a la tarifa que corresponda para los pagos al exterior, según el respectivo concepto.</w:t>
      </w:r>
    </w:p>
    <w:p w14:paraId="045A39DB" w14:textId="77777777" w:rsidR="00040448" w:rsidRPr="00F53530" w:rsidRDefault="00280B8A" w:rsidP="00C44821">
      <w:pPr>
        <w:spacing w:before="240" w:after="240" w:line="240" w:lineRule="auto"/>
        <w:jc w:val="both"/>
        <w:rPr>
          <w:rFonts w:ascii="Times New Roman" w:hAnsi="Times New Roman"/>
          <w:i/>
        </w:rPr>
      </w:pPr>
      <w:r w:rsidRPr="00992A25">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Los derechos en los fondos o carteras colectivas y fondos mutuos mantendrán el costo fiscal, tratamiento y condiciones tributarias de los bienes o derechos que los conforman.</w:t>
      </w:r>
    </w:p>
    <w:p w14:paraId="045A39DC" w14:textId="77777777" w:rsidR="00040448" w:rsidRDefault="00280B8A" w:rsidP="00C44821">
      <w:pPr>
        <w:spacing w:before="240" w:after="240" w:line="240" w:lineRule="auto"/>
        <w:jc w:val="both"/>
        <w:rPr>
          <w:rFonts w:ascii="Times New Roman" w:hAnsi="Times New Roman"/>
          <w:i/>
        </w:rPr>
      </w:pPr>
      <w:r w:rsidRPr="00992A25">
        <w:rPr>
          <w:rFonts w:ascii="Times New Roman" w:hAnsi="Times New Roman"/>
          <w:b/>
          <w:bCs/>
          <w:i/>
        </w:rPr>
        <w:t>PARÁGRAFO 2.</w:t>
      </w:r>
      <w:r w:rsidR="00A03C6F" w:rsidRPr="00F53530">
        <w:rPr>
          <w:rFonts w:ascii="Times New Roman" w:hAnsi="Times New Roman"/>
          <w:i/>
        </w:rPr>
        <w:t xml:space="preserve"> </w:t>
      </w:r>
      <w:r w:rsidR="00040448" w:rsidRPr="00F53530">
        <w:rPr>
          <w:rFonts w:ascii="Times New Roman" w:hAnsi="Times New Roman"/>
          <w:i/>
        </w:rPr>
        <w:t>No estarán sometidos a retención en la fuente, los pagos o abonos en cuenta derivados de la enajenación de títulos de deuda, derechos de participación, acciones o valores de renta variable, cuando estos se negocien en el mercado a través de una bolsa de valores colombiana.</w:t>
      </w:r>
    </w:p>
    <w:p w14:paraId="045A39DD" w14:textId="77777777" w:rsidR="003978E5" w:rsidRPr="00F53530" w:rsidRDefault="003978E5"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DE" w14:textId="77777777" w:rsidR="00F53530" w:rsidRDefault="00D57785" w:rsidP="00C44821">
      <w:pPr>
        <w:pStyle w:val="Ttulo2"/>
      </w:pPr>
      <w:r w:rsidRPr="00F53530">
        <w:t>CAPÍTULO V</w:t>
      </w:r>
      <w:r w:rsidR="00485476">
        <w:br/>
      </w:r>
      <w:r w:rsidRPr="00F53530">
        <w:t>ENTIDADES SIN ÁNIMO DE LUCRO</w:t>
      </w:r>
    </w:p>
    <w:p w14:paraId="045A39DF" w14:textId="77777777" w:rsidR="00040448" w:rsidRPr="00F53530" w:rsidRDefault="00040448" w:rsidP="00C44821">
      <w:pPr>
        <w:spacing w:before="240" w:after="240" w:line="240" w:lineRule="auto"/>
        <w:jc w:val="both"/>
        <w:rPr>
          <w:rFonts w:ascii="Times New Roman" w:hAnsi="Times New Roman"/>
        </w:rPr>
      </w:pPr>
      <w:r w:rsidRPr="00956E08">
        <w:rPr>
          <w:rFonts w:ascii="Times New Roman" w:hAnsi="Times New Roman"/>
          <w:b/>
          <w:bCs/>
        </w:rPr>
        <w:t>ARTÍCULO 70.</w:t>
      </w:r>
      <w:r w:rsidR="00956E08" w:rsidRPr="00956E08">
        <w:rPr>
          <w:rFonts w:ascii="Times New Roman" w:hAnsi="Times New Roman"/>
          <w:b/>
          <w:bCs/>
        </w:rPr>
        <w:t xml:space="preserve"> </w:t>
      </w:r>
      <w:r w:rsidRPr="00F53530">
        <w:rPr>
          <w:rFonts w:ascii="Times New Roman" w:hAnsi="Times New Roman"/>
        </w:rPr>
        <w:t xml:space="preserve">Modifíquese el artículo 364-3 del </w:t>
      </w:r>
      <w:r w:rsidR="003978E5">
        <w:rPr>
          <w:rFonts w:ascii="Times New Roman" w:hAnsi="Times New Roman"/>
        </w:rPr>
        <w:t>*</w:t>
      </w:r>
      <w:r w:rsidRPr="00F53530">
        <w:rPr>
          <w:rFonts w:ascii="Times New Roman" w:hAnsi="Times New Roman"/>
        </w:rPr>
        <w:t>Estatuto Tributario, el cual quedará así:</w:t>
      </w:r>
    </w:p>
    <w:p w14:paraId="045A39E0" w14:textId="77777777" w:rsidR="00040448" w:rsidRPr="00F53530" w:rsidRDefault="00040448" w:rsidP="00C44821">
      <w:pPr>
        <w:spacing w:before="240" w:after="240" w:line="240" w:lineRule="auto"/>
        <w:jc w:val="both"/>
        <w:rPr>
          <w:rFonts w:ascii="Times New Roman" w:hAnsi="Times New Roman"/>
          <w:i/>
        </w:rPr>
      </w:pPr>
      <w:r w:rsidRPr="00992A25">
        <w:rPr>
          <w:rFonts w:ascii="Times New Roman" w:hAnsi="Times New Roman"/>
          <w:b/>
          <w:bCs/>
          <w:i/>
        </w:rPr>
        <w:t>Artículo 364-3</w:t>
      </w:r>
      <w:r w:rsidR="00280B8A" w:rsidRPr="00992A25">
        <w:rPr>
          <w:rFonts w:ascii="Times New Roman" w:hAnsi="Times New Roman"/>
          <w:b/>
          <w:bCs/>
          <w:i/>
        </w:rPr>
        <w:t>.</w:t>
      </w:r>
      <w:r w:rsidRPr="00992A25">
        <w:rPr>
          <w:rFonts w:ascii="Times New Roman" w:hAnsi="Times New Roman"/>
          <w:b/>
          <w:bCs/>
          <w:i/>
        </w:rPr>
        <w:t xml:space="preserve"> Pérdida de los beneficios del Régimen Tributario Especial.</w:t>
      </w:r>
      <w:r w:rsidRPr="00F53530">
        <w:rPr>
          <w:rFonts w:ascii="Times New Roman" w:hAnsi="Times New Roman"/>
          <w:i/>
        </w:rPr>
        <w:t xml:space="preserve"> Perderán los beneficios del Régimen Tributario Especial las entidades que:</w:t>
      </w:r>
    </w:p>
    <w:p w14:paraId="045A39E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 xml:space="preserve">1. No cumplan con lo dispuesto en los artículos 19 a 23-2 del </w:t>
      </w:r>
      <w:r w:rsidR="003978E5">
        <w:rPr>
          <w:rFonts w:ascii="Times New Roman" w:hAnsi="Times New Roman"/>
          <w:i/>
        </w:rPr>
        <w:t>*</w:t>
      </w:r>
      <w:r w:rsidRPr="00F53530">
        <w:rPr>
          <w:rFonts w:ascii="Times New Roman" w:hAnsi="Times New Roman"/>
          <w:i/>
        </w:rPr>
        <w:t>Estatuto Tributario.</w:t>
      </w:r>
    </w:p>
    <w:p w14:paraId="045A39E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No cumplan con lo dispuesto en el Título VI del Libro Primero del presente Estatuto.</w:t>
      </w:r>
    </w:p>
    <w:p w14:paraId="045A39E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Cuyos miembros de junta directiva, fundadores, representantes legales o miembros de órganos de dirección:</w:t>
      </w:r>
    </w:p>
    <w:p w14:paraId="045A39E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Sean declarados responsables penalmente por delitos contra la administración pública, el orden económico social y contra el patrimonio económico, siempre y cuando los hechos hayan implicado la utilización de la entidad para la comisión del delito;</w:t>
      </w:r>
    </w:p>
    <w:p w14:paraId="045A39E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Sean sancionados con la declaración de caducidad de un contrato celebrado con una entidad pública, siempre y cuando los hechos hayan implicado la utilización de la entidad para la comisión de la conducta.</w:t>
      </w:r>
    </w:p>
    <w:p w14:paraId="045A39E6" w14:textId="77777777" w:rsidR="00040448" w:rsidRPr="00F53530" w:rsidRDefault="00280B8A" w:rsidP="00C44821">
      <w:pPr>
        <w:spacing w:before="240" w:after="240" w:line="240" w:lineRule="auto"/>
        <w:jc w:val="both"/>
        <w:rPr>
          <w:rFonts w:ascii="Times New Roman" w:hAnsi="Times New Roman"/>
          <w:i/>
        </w:rPr>
      </w:pPr>
      <w:r w:rsidRPr="00992A25">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Las entidades a las que se refiere este artículo serán excluidas del Régimen Tributario Especial y por ende serán contribuyentes del impuesto sobre la renta a partir del año en el cual incumplan tales condiciones, para cuyo efecto se asimilarán a sociedades comerciales nacionales.</w:t>
      </w:r>
    </w:p>
    <w:p w14:paraId="045A39E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Las entidades pueden solicitar su calificación al Régimen Tributario Especial para el año gravable siguiente a la pérdida del mismo, para lo cual deberán dar cumplimiento al procedimiento previsto en el artículo 356-2 de este Estatuto.</w:t>
      </w:r>
    </w:p>
    <w:p w14:paraId="045A39E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exclusión de las entidades sin ánimo de lucro del Régimen Tributario Especial por el incumplimiento de los requisitos establecidos en la ley no significará que la entidad pierda su calidad de sin ánimo de lucro, salvo que la Dirección de Impuestos y Aduanas Nacionales (DIAN) o la entidad competente demuestre que la entidad distribuyó excedentes, contrario a lo dispuesto en el artículo 356-1 del presente Estatuto.</w:t>
      </w:r>
    </w:p>
    <w:p w14:paraId="045A39E9" w14:textId="77777777" w:rsidR="00040448" w:rsidRPr="00F53530" w:rsidRDefault="00280B8A" w:rsidP="00C44821">
      <w:pPr>
        <w:spacing w:before="240" w:after="240" w:line="240" w:lineRule="auto"/>
        <w:jc w:val="both"/>
        <w:rPr>
          <w:rFonts w:ascii="Times New Roman" w:hAnsi="Times New Roman"/>
          <w:i/>
        </w:rPr>
      </w:pPr>
      <w:r w:rsidRPr="00992A25">
        <w:rPr>
          <w:rFonts w:ascii="Times New Roman" w:hAnsi="Times New Roman"/>
          <w:b/>
          <w:bCs/>
          <w:i/>
        </w:rPr>
        <w:t>PARÁGRAFO 2</w:t>
      </w:r>
      <w:r w:rsidRPr="00F53530">
        <w:rPr>
          <w:rFonts w:ascii="Times New Roman" w:hAnsi="Times New Roman"/>
          <w:i/>
        </w:rPr>
        <w:t>.</w:t>
      </w:r>
      <w:r w:rsidR="00A03C6F" w:rsidRPr="00F53530">
        <w:rPr>
          <w:rFonts w:ascii="Times New Roman" w:hAnsi="Times New Roman"/>
          <w:i/>
        </w:rPr>
        <w:t xml:space="preserve"> </w:t>
      </w:r>
      <w:r w:rsidR="00040448" w:rsidRPr="00F53530">
        <w:rPr>
          <w:rFonts w:ascii="Times New Roman" w:hAnsi="Times New Roman"/>
          <w:i/>
        </w:rPr>
        <w:t>Lo previsto en el numeral 3 de este artículo impedirá la nueva calificación en el Régimen Tributario Especial.</w:t>
      </w:r>
    </w:p>
    <w:p w14:paraId="045A39EA" w14:textId="77777777" w:rsidR="00040448" w:rsidRPr="00F53530" w:rsidRDefault="00280B8A" w:rsidP="00C44821">
      <w:pPr>
        <w:spacing w:before="240" w:after="240" w:line="240" w:lineRule="auto"/>
        <w:jc w:val="both"/>
        <w:rPr>
          <w:rFonts w:ascii="Times New Roman" w:hAnsi="Times New Roman"/>
          <w:i/>
        </w:rPr>
      </w:pPr>
      <w:r w:rsidRPr="00992A25">
        <w:rPr>
          <w:rFonts w:ascii="Times New Roman" w:hAnsi="Times New Roman"/>
          <w:b/>
          <w:bCs/>
          <w:i/>
        </w:rPr>
        <w:t>PARÁGRAFO 3.</w:t>
      </w:r>
      <w:r w:rsidRPr="00F53530">
        <w:rPr>
          <w:rFonts w:ascii="Times New Roman" w:hAnsi="Times New Roman"/>
          <w:i/>
        </w:rPr>
        <w:t xml:space="preserve"> </w:t>
      </w:r>
      <w:r w:rsidR="00040448" w:rsidRPr="00F53530">
        <w:rPr>
          <w:rFonts w:ascii="Times New Roman" w:hAnsi="Times New Roman"/>
          <w:i/>
        </w:rPr>
        <w:t>La Administración Tributaria, previa comprobación y mediante acto administrativo debidamente motivado, podrá excluir del Régimen Tributario Especial a las entidades de que trata el artículo 19-4 del presente Estatuto que:</w:t>
      </w:r>
    </w:p>
    <w:p w14:paraId="045A39E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No cumplan con las obligaciones establecidas en la legislación cooperativa vigente y aquellas establecidas en el artículo 19-4</w:t>
      </w:r>
      <w:r w:rsidR="00280B8A" w:rsidRPr="00F53530">
        <w:rPr>
          <w:rFonts w:ascii="Times New Roman" w:hAnsi="Times New Roman"/>
          <w:i/>
        </w:rPr>
        <w:t>.</w:t>
      </w:r>
    </w:p>
    <w:p w14:paraId="045A39E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Destinen el excedente o beneficio neto, en todo o en parte, en forma diferente a lo establecido en la legislación cooperativa vigente.</w:t>
      </w:r>
    </w:p>
    <w:p w14:paraId="045A39E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No presenten o presenten de manera extemporánea su declaración del impuesto sobre la renta y complementarios por tres (3) periodos gravables en un periodo de diez (10) años, contados a partir de la primera presentación extemporánea u omisión de declaración. Las declaraciones que, debiendo liquidar y pagar impuesto a cargo, sean presentadas sin el pago total del impuesto o de la respectiva cuota, serán tenidas como no presentadas, únicamente para los efectos de este artículo.</w:t>
      </w:r>
    </w:p>
    <w:p w14:paraId="045A39E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De ser excluidas del Régimen Tributario Especial, las entidades de que trata el presente parágrafo podrán solicitar su admisión pasados tres (3) años desde su exclusión, para lo cual deberán dar cumplimiento al procedimiento previsto en el artículo 356-2 de este Estatuto.</w:t>
      </w:r>
    </w:p>
    <w:p w14:paraId="045A39EF" w14:textId="77777777" w:rsidR="00040448" w:rsidRDefault="00280B8A" w:rsidP="00C44821">
      <w:pPr>
        <w:spacing w:before="240" w:after="240" w:line="240" w:lineRule="auto"/>
        <w:jc w:val="both"/>
        <w:rPr>
          <w:rFonts w:ascii="Times New Roman" w:hAnsi="Times New Roman"/>
          <w:i/>
        </w:rPr>
      </w:pPr>
      <w:r w:rsidRPr="00992A25">
        <w:rPr>
          <w:rFonts w:ascii="Times New Roman" w:hAnsi="Times New Roman"/>
          <w:b/>
          <w:bCs/>
          <w:i/>
        </w:rPr>
        <w:lastRenderedPageBreak/>
        <w:t>PARÁGRAFO 4.</w:t>
      </w:r>
      <w:r w:rsidR="00A03C6F" w:rsidRPr="00F53530">
        <w:rPr>
          <w:rFonts w:ascii="Times New Roman" w:hAnsi="Times New Roman"/>
          <w:i/>
        </w:rPr>
        <w:t xml:space="preserve"> </w:t>
      </w:r>
      <w:r w:rsidR="00040448" w:rsidRPr="00F53530">
        <w:rPr>
          <w:rFonts w:ascii="Times New Roman" w:hAnsi="Times New Roman"/>
          <w:i/>
        </w:rPr>
        <w:t>En caso de pérdida de los beneficios del régimen tributario especial, dichos beneficios se tornan improcedentes a partir del año gravable en que se incumpla con los requisitos para pertenecer al régimen tributario especial.</w:t>
      </w:r>
    </w:p>
    <w:p w14:paraId="045A39F0" w14:textId="77777777" w:rsidR="003978E5" w:rsidRPr="00F53530" w:rsidRDefault="003978E5"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9F1" w14:textId="77777777" w:rsidR="00F53530" w:rsidRDefault="00E14F21" w:rsidP="00C44821">
      <w:pPr>
        <w:pStyle w:val="Ttulo2"/>
      </w:pPr>
      <w:r w:rsidRPr="00F53530">
        <w:t>CAPÍTULO VI</w:t>
      </w:r>
      <w:r w:rsidR="00DE261F">
        <w:br/>
      </w:r>
      <w:r w:rsidRPr="00F53530">
        <w:t>OTRAS DISPOSICIONES</w:t>
      </w:r>
    </w:p>
    <w:p w14:paraId="045A39F2" w14:textId="77777777" w:rsidR="00040448" w:rsidRPr="00F53530" w:rsidRDefault="00040448" w:rsidP="00C44821">
      <w:pPr>
        <w:spacing w:before="240" w:after="240" w:line="240" w:lineRule="auto"/>
        <w:jc w:val="both"/>
        <w:rPr>
          <w:rFonts w:ascii="Times New Roman" w:hAnsi="Times New Roman"/>
        </w:rPr>
      </w:pPr>
      <w:r w:rsidRPr="00DE261F">
        <w:rPr>
          <w:rFonts w:ascii="Times New Roman" w:hAnsi="Times New Roman"/>
          <w:b/>
          <w:bCs/>
        </w:rPr>
        <w:t>ARTÍCULO 71</w:t>
      </w:r>
      <w:r w:rsidRPr="00F53530">
        <w:rPr>
          <w:rFonts w:ascii="Times New Roman" w:hAnsi="Times New Roman"/>
        </w:rPr>
        <w:t>.</w:t>
      </w:r>
      <w:r w:rsidR="00DE261F">
        <w:rPr>
          <w:rFonts w:ascii="Times New Roman" w:hAnsi="Times New Roman"/>
        </w:rPr>
        <w:t xml:space="preserve"> </w:t>
      </w:r>
      <w:r w:rsidRPr="00F53530">
        <w:rPr>
          <w:rFonts w:ascii="Times New Roman" w:hAnsi="Times New Roman"/>
        </w:rPr>
        <w:t xml:space="preserve">Modifíquese el Capítulo 12 del Título XV de la </w:t>
      </w:r>
      <w:r w:rsidR="003159CD">
        <w:rPr>
          <w:rFonts w:ascii="Times New Roman" w:hAnsi="Times New Roman"/>
        </w:rPr>
        <w:t>*</w:t>
      </w:r>
      <w:r w:rsidRPr="00F53530">
        <w:rPr>
          <w:rFonts w:ascii="Times New Roman" w:hAnsi="Times New Roman"/>
        </w:rPr>
        <w:t>Ley 599 de 2000, el cual quedará así:</w:t>
      </w:r>
    </w:p>
    <w:p w14:paraId="045A39F3" w14:textId="77777777" w:rsidR="00F53530" w:rsidRPr="001D65D6" w:rsidRDefault="00040448" w:rsidP="00C44821">
      <w:pPr>
        <w:spacing w:before="240" w:after="240" w:line="240" w:lineRule="auto"/>
        <w:jc w:val="center"/>
        <w:rPr>
          <w:rFonts w:ascii="Times New Roman" w:hAnsi="Times New Roman"/>
          <w:b/>
          <w:bCs/>
          <w:i/>
        </w:rPr>
      </w:pPr>
      <w:r w:rsidRPr="001D65D6">
        <w:rPr>
          <w:rFonts w:ascii="Times New Roman" w:hAnsi="Times New Roman"/>
          <w:b/>
          <w:bCs/>
          <w:i/>
        </w:rPr>
        <w:t>CAPÍTULO 12</w:t>
      </w:r>
    </w:p>
    <w:p w14:paraId="045A39F4" w14:textId="77777777" w:rsidR="00040448" w:rsidRPr="001D65D6" w:rsidRDefault="00040448" w:rsidP="00C44821">
      <w:pPr>
        <w:spacing w:before="240" w:after="240" w:line="240" w:lineRule="auto"/>
        <w:jc w:val="center"/>
        <w:rPr>
          <w:rFonts w:ascii="Times New Roman" w:hAnsi="Times New Roman"/>
          <w:b/>
          <w:bCs/>
          <w:i/>
        </w:rPr>
      </w:pPr>
      <w:r w:rsidRPr="001D65D6">
        <w:rPr>
          <w:rFonts w:ascii="Times New Roman" w:hAnsi="Times New Roman"/>
          <w:b/>
          <w:bCs/>
          <w:i/>
        </w:rPr>
        <w:t>DE LA OMISIÓN DE ACTIVOS, LA DEFRAUDACIÓN Y LA PROMOCIÓN DE ESTRUCTURAS DE EVASIÓN TRIBUTARIA</w:t>
      </w:r>
    </w:p>
    <w:p w14:paraId="045A39F5" w14:textId="77777777" w:rsidR="00040448" w:rsidRPr="00F53530" w:rsidRDefault="00040448" w:rsidP="00C44821">
      <w:pPr>
        <w:spacing w:before="240" w:after="240" w:line="240" w:lineRule="auto"/>
        <w:jc w:val="both"/>
        <w:rPr>
          <w:rFonts w:ascii="Times New Roman" w:hAnsi="Times New Roman"/>
          <w:i/>
        </w:rPr>
      </w:pPr>
      <w:r w:rsidRPr="001D65D6">
        <w:rPr>
          <w:rFonts w:ascii="Times New Roman" w:hAnsi="Times New Roman"/>
          <w:b/>
          <w:bCs/>
          <w:i/>
        </w:rPr>
        <w:t>Artículo 434A</w:t>
      </w:r>
      <w:r w:rsidR="00280B8A" w:rsidRPr="001D65D6">
        <w:rPr>
          <w:rFonts w:ascii="Times New Roman" w:hAnsi="Times New Roman"/>
          <w:b/>
          <w:bCs/>
          <w:i/>
        </w:rPr>
        <w:t>.</w:t>
      </w:r>
      <w:r w:rsidRPr="001D65D6">
        <w:rPr>
          <w:rFonts w:ascii="Times New Roman" w:hAnsi="Times New Roman"/>
          <w:b/>
          <w:bCs/>
          <w:i/>
        </w:rPr>
        <w:t xml:space="preserve"> Omisión de activos o inclusión de pasivos inexistentes.</w:t>
      </w:r>
      <w:r w:rsidRPr="00F53530">
        <w:rPr>
          <w:rFonts w:ascii="Times New Roman" w:hAnsi="Times New Roman"/>
          <w:i/>
        </w:rPr>
        <w:t xml:space="preserve"> El contribuyente que omita activos o declare un menor valor de los activos o declare pasivos inexistentes, en la declaración del impuesto sobre la renta y complementarios, por un valor igual o superior a 5.000 salarios mínimos legales mensuales vigentes, definido por liquidación oficial de la autoridad tributaria, incurrirá en prisión de 48 a 108 meses de prisión.</w:t>
      </w:r>
    </w:p>
    <w:p w14:paraId="045A39F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El valor de los activos omitidos o de los declarados por un menor valor, será establecido de conformidad con las reglas de valoración patrimonial de activos del </w:t>
      </w:r>
      <w:r w:rsidR="003978E5">
        <w:rPr>
          <w:rFonts w:ascii="Times New Roman" w:hAnsi="Times New Roman"/>
          <w:i/>
        </w:rPr>
        <w:t>*</w:t>
      </w:r>
      <w:r w:rsidRPr="00F53530">
        <w:rPr>
          <w:rFonts w:ascii="Times New Roman" w:hAnsi="Times New Roman"/>
          <w:i/>
        </w:rPr>
        <w:t>Estatuto Tributario, y el de los pasivos inexistentes por el valor por el que hayan sido incluidos en la declaración del impuesto sobre la renta y complementarios.</w:t>
      </w:r>
    </w:p>
    <w:p w14:paraId="045A39F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Si el valor fiscal de los activos omitidos, o el menor valor de los activos declarados o del pasivo inexistente es superior a 7.250 salarios mínimos mensuales legales vigentes pero inferior de 8.500 salarios mínimos mensuales legales vigentes, las penas previstas en este artículo se incrementarán en una tercera parte; en los eventos que sea superior a 8.500 salarios mínimos mensuales legales vigentes, las penas se incrementarán en la mitad.</w:t>
      </w:r>
    </w:p>
    <w:p w14:paraId="045A39F8" w14:textId="77777777" w:rsidR="00040448" w:rsidRPr="00F53530" w:rsidRDefault="00280B8A" w:rsidP="00C44821">
      <w:pPr>
        <w:spacing w:before="240" w:after="240" w:line="240" w:lineRule="auto"/>
        <w:jc w:val="both"/>
        <w:rPr>
          <w:rFonts w:ascii="Times New Roman" w:hAnsi="Times New Roman"/>
          <w:i/>
        </w:rPr>
      </w:pPr>
      <w:r w:rsidRPr="004B7030">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La acción penal podrá iniciarse por petición especial del Director General de la Dirección de Impuestos y Aduanas Nacionales (DIAN) o la autoridad competente, o su delegado o delegados especiales, siguiendo criterios de razonabilidad y proporcionalidad.</w:t>
      </w:r>
    </w:p>
    <w:p w14:paraId="045A39F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autoridad se abstendrá de presentar esta petición, cuando exista una interpretación razonable del derecho aplicable, siempre que los hechos y cifras declarados por el contribuyente sean completos y verdaderos.</w:t>
      </w:r>
    </w:p>
    <w:p w14:paraId="045A39FA" w14:textId="77777777" w:rsidR="00040448" w:rsidRPr="00F53530" w:rsidRDefault="00280B8A" w:rsidP="00C44821">
      <w:pPr>
        <w:spacing w:before="240" w:after="240" w:line="240" w:lineRule="auto"/>
        <w:jc w:val="both"/>
        <w:rPr>
          <w:rFonts w:ascii="Times New Roman" w:hAnsi="Times New Roman"/>
          <w:i/>
        </w:rPr>
      </w:pPr>
      <w:r w:rsidRPr="004B7030">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 xml:space="preserve">La acción penal se extinguirá cuando el contribuyente presente o corrija la declaración o declaraciones correspondientes, siempre y cuando esté dentro del término para corregir previsto en el </w:t>
      </w:r>
      <w:r w:rsidR="005230C8">
        <w:rPr>
          <w:rFonts w:ascii="Times New Roman" w:hAnsi="Times New Roman"/>
          <w:i/>
        </w:rPr>
        <w:t>*</w:t>
      </w:r>
      <w:r w:rsidR="00040448" w:rsidRPr="00F53530">
        <w:rPr>
          <w:rFonts w:ascii="Times New Roman" w:hAnsi="Times New Roman"/>
          <w:i/>
        </w:rPr>
        <w:t>Estatuto Tributario y, en todo caso, realice los respectivos pagos de impuestos, sanciones tributarias e intereses correspondientes.</w:t>
      </w:r>
    </w:p>
    <w:p w14:paraId="045A39FB" w14:textId="77777777" w:rsidR="00040448" w:rsidRPr="00F53530" w:rsidRDefault="00040448" w:rsidP="00C44821">
      <w:pPr>
        <w:spacing w:before="240" w:after="240" w:line="240" w:lineRule="auto"/>
        <w:jc w:val="both"/>
        <w:rPr>
          <w:rFonts w:ascii="Times New Roman" w:hAnsi="Times New Roman"/>
          <w:i/>
        </w:rPr>
      </w:pPr>
      <w:r w:rsidRPr="004B7030">
        <w:rPr>
          <w:rFonts w:ascii="Times New Roman" w:hAnsi="Times New Roman"/>
          <w:b/>
          <w:bCs/>
          <w:i/>
        </w:rPr>
        <w:t>Artículo 434B</w:t>
      </w:r>
      <w:r w:rsidR="00280B8A" w:rsidRPr="004B7030">
        <w:rPr>
          <w:rFonts w:ascii="Times New Roman" w:hAnsi="Times New Roman"/>
          <w:b/>
          <w:bCs/>
          <w:i/>
        </w:rPr>
        <w:t>.</w:t>
      </w:r>
      <w:r w:rsidRPr="004B7030">
        <w:rPr>
          <w:rFonts w:ascii="Times New Roman" w:hAnsi="Times New Roman"/>
          <w:b/>
          <w:bCs/>
          <w:i/>
        </w:rPr>
        <w:t xml:space="preserve"> Defraudación o evasión tributaria. </w:t>
      </w:r>
      <w:r w:rsidRPr="00F53530">
        <w:rPr>
          <w:rFonts w:ascii="Times New Roman" w:hAnsi="Times New Roman"/>
          <w:i/>
        </w:rPr>
        <w:t xml:space="preserve">Siempre que la conducta no constituya otro delito sancionado con pena mayor, el contribuyente que, estando obligado a declarar no declare, o que en una declaración tributaria omita ingresos, o incluya costos o gastos inexistentes, o reclame créditos </w:t>
      </w:r>
      <w:r w:rsidRPr="00F53530">
        <w:rPr>
          <w:rFonts w:ascii="Times New Roman" w:hAnsi="Times New Roman"/>
          <w:i/>
        </w:rPr>
        <w:lastRenderedPageBreak/>
        <w:t>fiscales, retenciones o anticipos improcedentes por un valor igual o superior a 250 salarios mínimos legales mensuales vigentes e inferior a 2.500 salarios mínimos legales mensuales vigentes, definido por liquidación oficial de la autoridad tributaria, será sancionado con pena privativa de la libertad de 36 a 60 meses de prisión. En los eventos en que sea superior a 2.500 salarios mínimos legales mensuales vigentes e inferior a 8.500 salarios mínimos legales mensuales vigentes, las penas previstas en este artículo se incrementarán en una tercera parte y, en los casos que sea superior a 8.500 salarios mínimos mensuales legales vigentes, las penas se incrementarán en la mitad.</w:t>
      </w:r>
    </w:p>
    <w:p w14:paraId="045A39FC" w14:textId="77777777" w:rsidR="00040448" w:rsidRPr="00F53530" w:rsidRDefault="00280B8A" w:rsidP="00C44821">
      <w:pPr>
        <w:spacing w:before="240" w:after="240" w:line="240" w:lineRule="auto"/>
        <w:jc w:val="both"/>
        <w:rPr>
          <w:rFonts w:ascii="Times New Roman" w:hAnsi="Times New Roman"/>
          <w:i/>
        </w:rPr>
      </w:pPr>
      <w:r w:rsidRPr="00CF2826">
        <w:rPr>
          <w:rFonts w:ascii="Times New Roman" w:hAnsi="Times New Roman"/>
          <w:b/>
          <w:bCs/>
          <w:i/>
        </w:rPr>
        <w:t xml:space="preserve">PARÁGRAFO 1. </w:t>
      </w:r>
      <w:r w:rsidR="00040448" w:rsidRPr="00F53530">
        <w:rPr>
          <w:rFonts w:ascii="Times New Roman" w:hAnsi="Times New Roman"/>
          <w:i/>
        </w:rPr>
        <w:t>La acción penal podrá iniciarse por petición especial del Director General de la Dirección de Impuestos y Aduanas Nacionales (DIAN) o la autoridad competente, o su delegado o delegados especiales, siguiendo criterios de razonabilidad y proporcionalidad. La autoridad se abstendrá de presentar esta petición, cuando exista una interpretación razonable del derecho aplicable, siempre que los hechos y cifras declarados por el contribuyente sean completos y verdaderos.</w:t>
      </w:r>
    </w:p>
    <w:p w14:paraId="045A39FD" w14:textId="77777777" w:rsidR="00040448" w:rsidRDefault="00280B8A" w:rsidP="00C44821">
      <w:pPr>
        <w:spacing w:before="240" w:after="240" w:line="240" w:lineRule="auto"/>
        <w:jc w:val="both"/>
        <w:rPr>
          <w:rFonts w:ascii="Times New Roman" w:hAnsi="Times New Roman"/>
          <w:i/>
        </w:rPr>
      </w:pPr>
      <w:r w:rsidRPr="00CF2826">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 xml:space="preserve">La acción penal se extinguirá cuando el contribuyente presente o corrija la declaración o declaraciones correspondientes, siempre y cuando esté dentro del término para corregir previsto en el </w:t>
      </w:r>
      <w:r w:rsidR="005230C8">
        <w:rPr>
          <w:rFonts w:ascii="Times New Roman" w:hAnsi="Times New Roman"/>
          <w:i/>
        </w:rPr>
        <w:t>*</w:t>
      </w:r>
      <w:r w:rsidR="00040448" w:rsidRPr="00F53530">
        <w:rPr>
          <w:rFonts w:ascii="Times New Roman" w:hAnsi="Times New Roman"/>
          <w:i/>
        </w:rPr>
        <w:t>Estatuto Tributario y, en todo caso, realice los respectivos pagos de impuestos, sanciones tributarias e intereses correspondientes.</w:t>
      </w:r>
    </w:p>
    <w:p w14:paraId="045A39FE" w14:textId="77777777" w:rsidR="005230C8" w:rsidRPr="00F53530" w:rsidRDefault="005230C8"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mayor información y mejor comprensión de la remisión hecha </w:t>
      </w:r>
      <w:r w:rsidR="003159CD">
        <w:rPr>
          <w:rFonts w:ascii="Times New Roman" w:hAnsi="Times New Roman"/>
          <w:highlight w:val="green"/>
        </w:rPr>
        <w:t xml:space="preserve">a la Ley 599 de 2000 y </w:t>
      </w:r>
      <w:r w:rsidRPr="008D21E5">
        <w:rPr>
          <w:rFonts w:ascii="Times New Roman" w:hAnsi="Times New Roman"/>
          <w:highlight w:val="green"/>
        </w:rPr>
        <w:t>Estatuto Tributario, le sugerimos remitirse a la publicación de nuestro Grupo Editorial Nueva Legislación</w:t>
      </w:r>
      <w:r w:rsidR="003159CD">
        <w:rPr>
          <w:rFonts w:ascii="Times New Roman" w:hAnsi="Times New Roman"/>
          <w:highlight w:val="green"/>
        </w:rPr>
        <w:t xml:space="preserve"> “Código Penal y de Procedimiento Penal” y </w:t>
      </w:r>
      <w:r w:rsidRPr="008D21E5">
        <w:rPr>
          <w:rFonts w:ascii="Times New Roman" w:hAnsi="Times New Roman"/>
          <w:highlight w:val="green"/>
        </w:rPr>
        <w:t>“Estatuto Tributario Nacional”.</w:t>
      </w:r>
    </w:p>
    <w:p w14:paraId="045A39FF" w14:textId="77777777" w:rsidR="00040448" w:rsidRPr="00F53530" w:rsidRDefault="00040448" w:rsidP="00C44821">
      <w:pPr>
        <w:spacing w:before="240" w:after="240" w:line="240" w:lineRule="auto"/>
        <w:jc w:val="both"/>
        <w:rPr>
          <w:rFonts w:ascii="Times New Roman" w:hAnsi="Times New Roman"/>
        </w:rPr>
      </w:pPr>
      <w:r w:rsidRPr="00735838">
        <w:rPr>
          <w:rFonts w:ascii="Times New Roman" w:hAnsi="Times New Roman"/>
          <w:b/>
          <w:bCs/>
        </w:rPr>
        <w:t>ARTÍCULO 72.</w:t>
      </w:r>
      <w:r w:rsidR="00735838">
        <w:rPr>
          <w:rFonts w:ascii="Times New Roman" w:hAnsi="Times New Roman"/>
          <w:b/>
          <w:bCs/>
        </w:rPr>
        <w:t xml:space="preserve"> </w:t>
      </w:r>
      <w:r w:rsidRPr="00F53530">
        <w:rPr>
          <w:rFonts w:ascii="Times New Roman" w:hAnsi="Times New Roman"/>
        </w:rPr>
        <w:t xml:space="preserve">Adiciónense los literales g) y h), y dos parágrafos al artículo 793 del </w:t>
      </w:r>
      <w:r w:rsidR="005230C8">
        <w:rPr>
          <w:rFonts w:ascii="Times New Roman" w:hAnsi="Times New Roman"/>
        </w:rPr>
        <w:t>*</w:t>
      </w:r>
      <w:r w:rsidRPr="00F53530">
        <w:rPr>
          <w:rFonts w:ascii="Times New Roman" w:hAnsi="Times New Roman"/>
        </w:rPr>
        <w:t>Estatuto Tributario, los cuales quedarán así:</w:t>
      </w:r>
    </w:p>
    <w:p w14:paraId="045A3A0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g) Las personas o entidades que hayan sido parte en negocios con propósitos de evasión o de abuso, por los impuestos, intereses y sanciones dejados de recaudar por parte de la Administración Tributaria.</w:t>
      </w:r>
    </w:p>
    <w:p w14:paraId="045A3A0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h) Quienes custodien, administren o de cualquier manera gestionen activos en fondos o vehículos utilizados por sus partícipes con propósitos de evasión o abuso, con conocimiento de operación u operaciones constitutivas de abuso en materia tributaria.</w:t>
      </w:r>
    </w:p>
    <w:p w14:paraId="045A3A02" w14:textId="77777777" w:rsidR="00040448" w:rsidRPr="00F53530" w:rsidRDefault="00280B8A" w:rsidP="00C44821">
      <w:pPr>
        <w:spacing w:before="240" w:after="240" w:line="240" w:lineRule="auto"/>
        <w:jc w:val="both"/>
        <w:rPr>
          <w:rFonts w:ascii="Times New Roman" w:hAnsi="Times New Roman"/>
          <w:i/>
        </w:rPr>
      </w:pPr>
      <w:r w:rsidRPr="003E0CA1">
        <w:rPr>
          <w:rFonts w:ascii="Times New Roman" w:hAnsi="Times New Roman"/>
          <w:b/>
          <w:bCs/>
          <w:i/>
        </w:rPr>
        <w:t>PARÁGRAFO 1.</w:t>
      </w:r>
      <w:r w:rsidR="00A03C6F" w:rsidRPr="00F53530">
        <w:rPr>
          <w:rFonts w:ascii="Times New Roman" w:hAnsi="Times New Roman"/>
          <w:i/>
        </w:rPr>
        <w:t xml:space="preserve"> </w:t>
      </w:r>
      <w:r w:rsidR="00040448" w:rsidRPr="00F53530">
        <w:rPr>
          <w:rFonts w:ascii="Times New Roman" w:hAnsi="Times New Roman"/>
          <w:i/>
        </w:rPr>
        <w:t>En todos los casos de solidaridad previstos en este Estatuto, la Administración deberá notificar sus actuaciones a los deudores solidarios, en aras de que ejerzan su derecho de defensa.</w:t>
      </w:r>
    </w:p>
    <w:p w14:paraId="045A3A03" w14:textId="77777777" w:rsidR="00040448" w:rsidRDefault="00280B8A" w:rsidP="00C44821">
      <w:pPr>
        <w:spacing w:before="240" w:after="240" w:line="240" w:lineRule="auto"/>
        <w:jc w:val="both"/>
        <w:rPr>
          <w:rFonts w:ascii="Times New Roman" w:hAnsi="Times New Roman"/>
          <w:i/>
        </w:rPr>
      </w:pPr>
      <w:r w:rsidRPr="003E0CA1">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Los auxiliares de la justicia que actúan como liquidadores o interventores en la liquidación judicial de procesos concursales, de intervención por captación ilegal y en los casos en que de acuerdo con la ley deban ser designados por la Superintendencia de Sociedades, solo responden de manera subsidiaria por el incumplimiento de las obligaciones formales que se deriven de las obligaciones sustanciales que se originen con posterioridad a su posesión.</w:t>
      </w:r>
    </w:p>
    <w:p w14:paraId="045A3A04" w14:textId="77777777" w:rsidR="005230C8" w:rsidRPr="00F53530" w:rsidRDefault="005230C8"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A05" w14:textId="77777777" w:rsidR="00040448" w:rsidRPr="00F53530" w:rsidRDefault="00040448" w:rsidP="00C44821">
      <w:pPr>
        <w:spacing w:before="240" w:after="240" w:line="240" w:lineRule="auto"/>
        <w:jc w:val="both"/>
        <w:rPr>
          <w:rFonts w:ascii="Times New Roman" w:hAnsi="Times New Roman"/>
        </w:rPr>
      </w:pPr>
      <w:r w:rsidRPr="00677EDD">
        <w:rPr>
          <w:rFonts w:ascii="Times New Roman" w:hAnsi="Times New Roman"/>
          <w:b/>
          <w:bCs/>
        </w:rPr>
        <w:t>ARTÍCULO 73.</w:t>
      </w:r>
      <w:r w:rsidR="00677EDD">
        <w:rPr>
          <w:rFonts w:ascii="Times New Roman" w:hAnsi="Times New Roman"/>
          <w:b/>
          <w:bCs/>
        </w:rPr>
        <w:t xml:space="preserve"> </w:t>
      </w:r>
      <w:r w:rsidRPr="00F53530">
        <w:rPr>
          <w:rFonts w:ascii="Times New Roman" w:hAnsi="Times New Roman"/>
        </w:rPr>
        <w:t xml:space="preserve">Adiciónese un parágrafo al artículo 368 el </w:t>
      </w:r>
      <w:r w:rsidR="005230C8">
        <w:rPr>
          <w:rFonts w:ascii="Times New Roman" w:hAnsi="Times New Roman"/>
        </w:rPr>
        <w:t>*</w:t>
      </w:r>
      <w:r w:rsidRPr="00F53530">
        <w:rPr>
          <w:rFonts w:ascii="Times New Roman" w:hAnsi="Times New Roman"/>
        </w:rPr>
        <w:t>Estatuto Tributario, el cual quedará así:</w:t>
      </w:r>
    </w:p>
    <w:p w14:paraId="045A3A06" w14:textId="77777777" w:rsidR="00040448" w:rsidRDefault="00280B8A" w:rsidP="00C44821">
      <w:pPr>
        <w:spacing w:before="240" w:after="240" w:line="240" w:lineRule="auto"/>
        <w:jc w:val="both"/>
        <w:rPr>
          <w:rFonts w:ascii="Times New Roman" w:hAnsi="Times New Roman"/>
          <w:i/>
        </w:rPr>
      </w:pPr>
      <w:r w:rsidRPr="003E0CA1">
        <w:rPr>
          <w:rFonts w:ascii="Times New Roman" w:hAnsi="Times New Roman"/>
          <w:b/>
          <w:bCs/>
          <w:i/>
        </w:rPr>
        <w:lastRenderedPageBreak/>
        <w:t>PARÁGRAFO 3.</w:t>
      </w:r>
      <w:r w:rsidRPr="00F53530">
        <w:rPr>
          <w:rFonts w:ascii="Times New Roman" w:hAnsi="Times New Roman"/>
          <w:i/>
        </w:rPr>
        <w:t xml:space="preserve"> </w:t>
      </w:r>
      <w:r w:rsidR="00040448" w:rsidRPr="00F53530">
        <w:rPr>
          <w:rFonts w:ascii="Times New Roman" w:hAnsi="Times New Roman"/>
          <w:i/>
        </w:rPr>
        <w:t>Entiéndase también como agentes de retención las personas jurídicas y naturales exportadoras de servicios de entretenimiento para adulto a través del sistema webcam, que mediante contrato de mandato como hecho generador practiquen la retención en la fuente por servicios al mandante en el respectivo pago o abono en cuenta, de conformidad con el artículo 392 del Estatuto Tributario. Estas empresas estarán organizadas en una Federación de Comercio Electrónico para Adultos para su control y el sector será reglamentado mediante ley.</w:t>
      </w:r>
    </w:p>
    <w:p w14:paraId="045A3A07" w14:textId="77777777" w:rsidR="005230C8" w:rsidRDefault="005230C8" w:rsidP="001750AD">
      <w:pPr>
        <w:spacing w:before="240" w:after="240" w:line="240" w:lineRule="auto"/>
        <w:jc w:val="both"/>
        <w:rPr>
          <w:rFonts w:ascii="Times New Roman" w:hAnsi="Times New Roman"/>
          <w:highlight w:val="gree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r w:rsidR="001750AD">
        <w:rPr>
          <w:rFonts w:ascii="Times New Roman" w:hAnsi="Times New Roman"/>
          <w:highlight w:val="green"/>
        </w:rPr>
        <w:t>.</w:t>
      </w:r>
    </w:p>
    <w:p w14:paraId="045A3A08" w14:textId="77777777" w:rsidR="001750AD" w:rsidRPr="001750AD" w:rsidRDefault="001750AD" w:rsidP="001750AD">
      <w:pPr>
        <w:spacing w:after="0" w:line="240" w:lineRule="auto"/>
        <w:jc w:val="both"/>
        <w:rPr>
          <w:rFonts w:ascii="Times New Roman" w:hAnsi="Times New Roman"/>
          <w:b/>
          <w:highlight w:val="cyan"/>
        </w:rPr>
      </w:pPr>
      <w:r w:rsidRPr="001750AD">
        <w:rPr>
          <w:rFonts w:ascii="Times New Roman" w:hAnsi="Times New Roman"/>
          <w:b/>
          <w:highlight w:val="cyan"/>
        </w:rPr>
        <w:t>JURISPRUDENCIA:</w:t>
      </w:r>
    </w:p>
    <w:p w14:paraId="045A3A09" w14:textId="576D56FC" w:rsidR="001750AD" w:rsidRPr="001750AD" w:rsidRDefault="001750AD" w:rsidP="001750AD">
      <w:pPr>
        <w:numPr>
          <w:ilvl w:val="0"/>
          <w:numId w:val="17"/>
        </w:numPr>
        <w:spacing w:after="0" w:line="240" w:lineRule="auto"/>
        <w:jc w:val="both"/>
        <w:rPr>
          <w:rFonts w:ascii="Times New Roman" w:hAnsi="Times New Roman"/>
          <w:b/>
          <w:highlight w:val="cyan"/>
        </w:rPr>
      </w:pPr>
      <w:hyperlink r:id="rId59" w:history="1">
        <w:r w:rsidRPr="00393BE3">
          <w:rPr>
            <w:rStyle w:val="Hipervnculo"/>
            <w:rFonts w:ascii="Times New Roman" w:hAnsi="Times New Roman"/>
            <w:b/>
            <w:highlight w:val="cyan"/>
          </w:rPr>
          <w:t>SENTENCIA T-109 DE 27 DE ABRIL DE 2021</w:t>
        </w:r>
      </w:hyperlink>
      <w:r w:rsidRPr="001750AD">
        <w:rPr>
          <w:rFonts w:ascii="Times New Roman" w:hAnsi="Times New Roman"/>
          <w:b/>
          <w:highlight w:val="cyan"/>
        </w:rPr>
        <w:t>. CORTE CONSTITUCIONAL. M. P. DR. ALBERTO ROJAS RÍOS.</w:t>
      </w:r>
      <w:r w:rsidRPr="001750AD">
        <w:rPr>
          <w:highlight w:val="cyan"/>
        </w:rPr>
        <w:t xml:space="preserve"> </w:t>
      </w:r>
      <w:r w:rsidRPr="001750AD">
        <w:rPr>
          <w:rFonts w:ascii="Times New Roman" w:hAnsi="Times New Roman"/>
          <w:i/>
          <w:highlight w:val="cyan"/>
        </w:rPr>
        <w:t>Corte Constitucional reconoce derechos laborales a modelo webcam.</w:t>
      </w:r>
    </w:p>
    <w:p w14:paraId="045A3A0A" w14:textId="77777777" w:rsidR="00F53530" w:rsidRDefault="00E45675" w:rsidP="00C44821">
      <w:pPr>
        <w:pStyle w:val="Ttulo1"/>
      </w:pPr>
      <w:r w:rsidRPr="00F53530">
        <w:t>TÍTULO V</w:t>
      </w:r>
      <w:r w:rsidR="00677EDD">
        <w:br/>
      </w:r>
      <w:r w:rsidR="00040448" w:rsidRPr="00F53530">
        <w:t>MEDIDA</w:t>
      </w:r>
      <w:r w:rsidRPr="00F53530">
        <w:t>S PARA EL CRECIMIENTO ECONÓMICO</w:t>
      </w:r>
    </w:p>
    <w:p w14:paraId="045A3A0B" w14:textId="77777777" w:rsidR="00F53530" w:rsidRDefault="00040448" w:rsidP="00C44821">
      <w:pPr>
        <w:pStyle w:val="Ttulo2"/>
      </w:pPr>
      <w:r w:rsidRPr="00F53530">
        <w:t>CAPÍTULO I</w:t>
      </w:r>
      <w:r w:rsidR="00677EDD">
        <w:br/>
      </w:r>
      <w:r w:rsidRPr="00F53530">
        <w:t>IMPUESTO UNIFICADO BAJO EL RÉGIMEN</w:t>
      </w:r>
      <w:r w:rsidR="00E45675" w:rsidRPr="00F53530">
        <w:t xml:space="preserve"> SIMPLE DE TRIBUTACIÓN - SIMPLE</w:t>
      </w:r>
    </w:p>
    <w:p w14:paraId="045A3A0C" w14:textId="77777777" w:rsidR="00040448" w:rsidRPr="00F53530" w:rsidRDefault="00040448" w:rsidP="00C44821">
      <w:pPr>
        <w:spacing w:before="240" w:after="240" w:line="240" w:lineRule="auto"/>
        <w:jc w:val="both"/>
        <w:rPr>
          <w:rFonts w:ascii="Times New Roman" w:hAnsi="Times New Roman"/>
        </w:rPr>
      </w:pPr>
      <w:r w:rsidRPr="00677EDD">
        <w:rPr>
          <w:rFonts w:ascii="Times New Roman" w:hAnsi="Times New Roman"/>
          <w:b/>
          <w:bCs/>
        </w:rPr>
        <w:t>ARTÍCULO 74. IMPUESTO UNIFICADO BAJO EL RÉGIMEN SIMPLE DE TRIBUTACIÓN - SIMPLE PARA LA FORMALIZACIÓN Y L</w:t>
      </w:r>
      <w:r w:rsidR="00E45675" w:rsidRPr="00677EDD">
        <w:rPr>
          <w:rFonts w:ascii="Times New Roman" w:hAnsi="Times New Roman"/>
          <w:b/>
          <w:bCs/>
        </w:rPr>
        <w:t>A GENERACIÓN DE EMPLEO</w:t>
      </w:r>
      <w:r w:rsidR="00677EDD">
        <w:rPr>
          <w:rFonts w:ascii="Times New Roman" w:hAnsi="Times New Roman"/>
          <w:b/>
          <w:bCs/>
        </w:rPr>
        <w:t xml:space="preserve"> </w:t>
      </w:r>
      <w:r w:rsidRPr="00F53530">
        <w:rPr>
          <w:rFonts w:ascii="Times New Roman" w:hAnsi="Times New Roman"/>
        </w:rPr>
        <w:t xml:space="preserve">Sustitúyase el Libro Octavo del </w:t>
      </w:r>
      <w:r w:rsidR="00147EB0">
        <w:rPr>
          <w:rFonts w:ascii="Times New Roman" w:hAnsi="Times New Roman"/>
        </w:rPr>
        <w:t>*</w:t>
      </w:r>
      <w:r w:rsidRPr="00F53530">
        <w:rPr>
          <w:rFonts w:ascii="Times New Roman" w:hAnsi="Times New Roman"/>
        </w:rPr>
        <w:t>Estatuto Tributario, el cual quedará así:</w:t>
      </w:r>
    </w:p>
    <w:p w14:paraId="045A3A0D" w14:textId="77777777" w:rsidR="00F53530" w:rsidRPr="003E0CA1" w:rsidRDefault="00040448" w:rsidP="00C44821">
      <w:pPr>
        <w:spacing w:before="240" w:after="240" w:line="240" w:lineRule="auto"/>
        <w:jc w:val="center"/>
        <w:rPr>
          <w:rFonts w:ascii="Times New Roman" w:hAnsi="Times New Roman"/>
          <w:b/>
          <w:bCs/>
          <w:i/>
        </w:rPr>
      </w:pPr>
      <w:r w:rsidRPr="003E0CA1">
        <w:rPr>
          <w:rFonts w:ascii="Times New Roman" w:hAnsi="Times New Roman"/>
          <w:b/>
          <w:bCs/>
          <w:i/>
        </w:rPr>
        <w:t>LIBRO OCTAVO</w:t>
      </w:r>
    </w:p>
    <w:p w14:paraId="045A3A0E" w14:textId="77777777" w:rsidR="00040448" w:rsidRPr="003E0CA1" w:rsidRDefault="00040448" w:rsidP="00C44821">
      <w:pPr>
        <w:spacing w:before="240" w:after="240" w:line="240" w:lineRule="auto"/>
        <w:jc w:val="center"/>
        <w:rPr>
          <w:rFonts w:ascii="Times New Roman" w:hAnsi="Times New Roman"/>
          <w:b/>
          <w:bCs/>
          <w:i/>
        </w:rPr>
      </w:pPr>
      <w:r w:rsidRPr="003E0CA1">
        <w:rPr>
          <w:rFonts w:ascii="Times New Roman" w:hAnsi="Times New Roman"/>
          <w:b/>
          <w:bCs/>
          <w:i/>
        </w:rPr>
        <w:t>IMPUESTO UNIFICADO BAJO EL RÉGIMEN SIMPLE DE TRIBUTACIÓN - SIMPLE PARA LA FORMALIZACIÓN Y LA GENERACIÓN DE EMPLEO</w:t>
      </w:r>
    </w:p>
    <w:p w14:paraId="045A3A0F" w14:textId="77777777" w:rsidR="00040448" w:rsidRPr="00F53530" w:rsidRDefault="00040448" w:rsidP="00C44821">
      <w:pPr>
        <w:spacing w:before="240" w:after="240" w:line="240" w:lineRule="auto"/>
        <w:jc w:val="both"/>
        <w:rPr>
          <w:rFonts w:ascii="Times New Roman" w:hAnsi="Times New Roman"/>
          <w:i/>
        </w:rPr>
      </w:pPr>
      <w:r w:rsidRPr="003E0CA1">
        <w:rPr>
          <w:rFonts w:ascii="Times New Roman" w:hAnsi="Times New Roman"/>
          <w:b/>
          <w:bCs/>
          <w:i/>
        </w:rPr>
        <w:t>Artículo 903</w:t>
      </w:r>
      <w:r w:rsidR="00280B8A" w:rsidRPr="003E0CA1">
        <w:rPr>
          <w:rFonts w:ascii="Times New Roman" w:hAnsi="Times New Roman"/>
          <w:b/>
          <w:bCs/>
          <w:i/>
        </w:rPr>
        <w:t>.</w:t>
      </w:r>
      <w:r w:rsidRPr="003E0CA1">
        <w:rPr>
          <w:rFonts w:ascii="Times New Roman" w:hAnsi="Times New Roman"/>
          <w:b/>
          <w:bCs/>
          <w:i/>
        </w:rPr>
        <w:t xml:space="preserve"> Creación del impuesto unificado bajo el Régimen Simple de Tributación - Simple. </w:t>
      </w:r>
      <w:r w:rsidRPr="00F53530">
        <w:rPr>
          <w:rFonts w:ascii="Times New Roman" w:hAnsi="Times New Roman"/>
          <w:i/>
        </w:rPr>
        <w:t>Créese a partir del 1 de enero de 2020 el impuesto unificado que se pagará bajo el Régimen Simple de Tributación - Simple, con el fin de reducir las cargas formales y sustanciales, impulsar la formalidad y, en general, simplificar y facilitar el cumplimiento de la obligación tributaria de los contribuyentes que voluntariamente se acojan al régimen previsto en el presente Libro.</w:t>
      </w:r>
    </w:p>
    <w:p w14:paraId="045A3A1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impuesto unificado bajo el Régimen Simple de Tributación - Simple es un modelo de tributación opcional de determinación integral, de declaración anual y anticipo bimestral, que sustituye el impuesto sobre la renta, e integra el impuesto nacional al consumo y el impuesto de industria y comercio consolidado, a cargo de los contribuyentes que opten voluntariamente por acogerse al mismo. El impuesto de industria y comercio consolidado comprende el impuesto complementario de avisos y tableros y las sobretasas bomberil que se encuentran autorizadas a los municipios.</w:t>
      </w:r>
    </w:p>
    <w:p w14:paraId="045A3A1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Este sistema también integra los aportes del empleador a pensiones, mediante el mecanismo del crédito tributario.</w:t>
      </w:r>
    </w:p>
    <w:p w14:paraId="045A3A12" w14:textId="77777777" w:rsidR="00040448" w:rsidRPr="00F53530" w:rsidRDefault="00280B8A" w:rsidP="00C44821">
      <w:pPr>
        <w:spacing w:before="240" w:after="240" w:line="240" w:lineRule="auto"/>
        <w:jc w:val="both"/>
        <w:rPr>
          <w:rFonts w:ascii="Times New Roman" w:hAnsi="Times New Roman"/>
          <w:i/>
        </w:rPr>
      </w:pPr>
      <w:r w:rsidRPr="003E0CA1">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 xml:space="preserve">La Dirección de Impuestos y Aduanas Nacionales (DIAN), en uso de sus facultades, podrá registrar en el presente régimen de manera oficiosa a contribuyentes que no hayan declarado cualquiera de los impuestos sobre la renta y complementarios, sobre las ventas, al consumo y/o el impuesto de industria y comercio consolidado. La inscripción o registro, podrá hacerse en el Registro </w:t>
      </w:r>
      <w:r w:rsidR="00040448" w:rsidRPr="00F53530">
        <w:rPr>
          <w:rFonts w:ascii="Times New Roman" w:hAnsi="Times New Roman"/>
          <w:i/>
        </w:rPr>
        <w:lastRenderedPageBreak/>
        <w:t>Único Tributario (RUT) de manera masiva, a través de un edicto que se publicará en la página web de la Dirección de Impuestos y Aduanas Nacionales (DIAN).</w:t>
      </w:r>
    </w:p>
    <w:p w14:paraId="045A3A1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Dirección de Impuestos y Aduanas Nacionales (DIAN) informará a las autoridades municipales y distritales, mediante resolución, el listado de los contribuyentes que se acogieron al Régimen Simple de Tributación - Simple, así como aquellos que sean inscritos de oficio.</w:t>
      </w:r>
    </w:p>
    <w:p w14:paraId="045A3A14" w14:textId="77777777" w:rsidR="00040448" w:rsidRPr="00F53530" w:rsidRDefault="00280B8A" w:rsidP="00C44821">
      <w:pPr>
        <w:spacing w:before="240" w:after="240" w:line="240" w:lineRule="auto"/>
        <w:jc w:val="both"/>
        <w:rPr>
          <w:rFonts w:ascii="Times New Roman" w:hAnsi="Times New Roman"/>
          <w:i/>
        </w:rPr>
      </w:pPr>
      <w:r w:rsidRPr="003E0CA1">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El Gobierno nacional reglamentará el intercambio de información y los programas de control y fiscalización conjuntos entre la Dirección de Impuestos y Aduanas Nacionales (DIAN) y las autoridades municipales y distritales.</w:t>
      </w:r>
    </w:p>
    <w:p w14:paraId="045A3A15" w14:textId="77777777" w:rsidR="00040448" w:rsidRPr="00F53530" w:rsidRDefault="00280B8A" w:rsidP="00C44821">
      <w:pPr>
        <w:spacing w:before="240" w:after="240" w:line="240" w:lineRule="auto"/>
        <w:jc w:val="both"/>
        <w:rPr>
          <w:rFonts w:ascii="Times New Roman" w:hAnsi="Times New Roman"/>
          <w:i/>
        </w:rPr>
      </w:pPr>
      <w:r w:rsidRPr="003E0CA1">
        <w:rPr>
          <w:rFonts w:ascii="Times New Roman" w:hAnsi="Times New Roman"/>
          <w:b/>
          <w:bCs/>
          <w:i/>
        </w:rPr>
        <w:t xml:space="preserve">PARÁGRAFO 3. </w:t>
      </w:r>
      <w:r w:rsidR="00040448" w:rsidRPr="00F53530">
        <w:rPr>
          <w:rFonts w:ascii="Times New Roman" w:hAnsi="Times New Roman"/>
          <w:i/>
        </w:rPr>
        <w:t xml:space="preserve">Los contribuyentes que opten por acogerse al impuesto unificado bajo el Régimen Simple de Tributación - Simple deberán realizar los respectivos aportes al Sistema General de Pensiones de conformidad con la legislación vigente y estarán exonerados de aportes parafiscales en los términos del artículo 114-1 del </w:t>
      </w:r>
      <w:r w:rsidR="00147EB0">
        <w:rPr>
          <w:rFonts w:ascii="Times New Roman" w:hAnsi="Times New Roman"/>
          <w:i/>
        </w:rPr>
        <w:t>*</w:t>
      </w:r>
      <w:r w:rsidR="00040448" w:rsidRPr="00F53530">
        <w:rPr>
          <w:rFonts w:ascii="Times New Roman" w:hAnsi="Times New Roman"/>
          <w:i/>
        </w:rPr>
        <w:t>Estatuto Tributario.</w:t>
      </w:r>
    </w:p>
    <w:p w14:paraId="045A3A16" w14:textId="77777777" w:rsidR="00040448" w:rsidRPr="00F53530" w:rsidRDefault="00280B8A" w:rsidP="00C44821">
      <w:pPr>
        <w:spacing w:before="240" w:after="240" w:line="240" w:lineRule="auto"/>
        <w:jc w:val="both"/>
        <w:rPr>
          <w:rFonts w:ascii="Times New Roman" w:hAnsi="Times New Roman"/>
          <w:i/>
        </w:rPr>
      </w:pPr>
      <w:r w:rsidRPr="003E0CA1">
        <w:rPr>
          <w:rFonts w:ascii="Times New Roman" w:hAnsi="Times New Roman"/>
          <w:b/>
          <w:bCs/>
          <w:i/>
        </w:rPr>
        <w:t>PARÁGRAFO 4.</w:t>
      </w:r>
      <w:r w:rsidRPr="00F53530">
        <w:rPr>
          <w:rFonts w:ascii="Times New Roman" w:hAnsi="Times New Roman"/>
          <w:i/>
        </w:rPr>
        <w:t xml:space="preserve"> </w:t>
      </w:r>
      <w:r w:rsidR="00040448" w:rsidRPr="00F53530">
        <w:rPr>
          <w:rFonts w:ascii="Times New Roman" w:hAnsi="Times New Roman"/>
          <w:i/>
        </w:rPr>
        <w:t>El valor del aporte al Sistema General de Pensiones a cargo del empleador que sea contribuyente del impuesto unificado bajo el Régimen Simple de Tributación - Simple, se podrá tomar como un descuento tributario en los recibos electrónicos de pago del anticipo bimestral Simple de que trata el artículo 910 de este Estatuto. El descuento no podrá exceder el valor del anticipo bimestral a cargo del contribuyente perteneciente a este régimen. La parte que corresponda al impuesto de industria y comercio consolidado no podrá ser cubierta con dicho descuento.</w:t>
      </w:r>
    </w:p>
    <w:p w14:paraId="045A3A1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exceso originado en el descuento de que trata este parágrafo, podrá tomarse en los siguientes recibos electrónicos del anticipo bimestral SIMPLE a aquel en que se realizó el pago del aporte al Sistema General de Pensiones. Para la procedencia del descuento, el contribuyente del impuesto unificado bajo el Régimen Simple de Tributación - Simple debe haber efectuado el pago de los aportes al Sistema General de Pensiones antes de presentar el recibo electrónico del anticipo bimestral Simple de que trata el artículo 910 de este Estatuto.</w:t>
      </w:r>
    </w:p>
    <w:p w14:paraId="045A3A18" w14:textId="77777777" w:rsidR="00040448" w:rsidRPr="00F53530" w:rsidRDefault="00040448" w:rsidP="00C44821">
      <w:pPr>
        <w:spacing w:before="240" w:after="240" w:line="240" w:lineRule="auto"/>
        <w:jc w:val="both"/>
        <w:rPr>
          <w:rFonts w:ascii="Times New Roman" w:hAnsi="Times New Roman"/>
          <w:i/>
        </w:rPr>
      </w:pPr>
      <w:r w:rsidRPr="003E0CA1">
        <w:rPr>
          <w:rFonts w:ascii="Times New Roman" w:hAnsi="Times New Roman"/>
          <w:b/>
          <w:bCs/>
          <w:i/>
        </w:rPr>
        <w:t>Artículo 904</w:t>
      </w:r>
      <w:r w:rsidR="00280B8A" w:rsidRPr="003E0CA1">
        <w:rPr>
          <w:rFonts w:ascii="Times New Roman" w:hAnsi="Times New Roman"/>
          <w:b/>
          <w:bCs/>
          <w:i/>
        </w:rPr>
        <w:t>.</w:t>
      </w:r>
      <w:r w:rsidRPr="003E0CA1">
        <w:rPr>
          <w:rFonts w:ascii="Times New Roman" w:hAnsi="Times New Roman"/>
          <w:b/>
          <w:bCs/>
          <w:i/>
        </w:rPr>
        <w:t xml:space="preserve"> Hecho generador y base gravable del impuesto unificado bajo el Régimen Simple de Tributación - Simple</w:t>
      </w:r>
      <w:r w:rsidRPr="00F53530">
        <w:rPr>
          <w:rFonts w:ascii="Times New Roman" w:hAnsi="Times New Roman"/>
          <w:i/>
        </w:rPr>
        <w:t xml:space="preserve">. El hecho generador del impuesto unificado bajo el Régimen Simple de Tributación - Simple es la obtención de ingresos susceptibles de producir un incremento en el patrimonio, y su base gravable está integrada por la totalidad de los </w:t>
      </w:r>
      <w:r w:rsidRPr="002259F6">
        <w:rPr>
          <w:rFonts w:ascii="Times New Roman" w:hAnsi="Times New Roman"/>
          <w:i/>
          <w:u w:val="single"/>
        </w:rPr>
        <w:t>ingresos brutos</w:t>
      </w:r>
      <w:r w:rsidRPr="00F53530">
        <w:rPr>
          <w:rFonts w:ascii="Times New Roman" w:hAnsi="Times New Roman"/>
          <w:i/>
        </w:rPr>
        <w:t>, ordinarios y extraordinarios, percibidos en el respectivo periodo gravable.</w:t>
      </w:r>
    </w:p>
    <w:p w14:paraId="045A3A1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el caso del impuesto de industria y comercio consolidado, el cual se integra al impuesto unificado bajo el régimen simple de tributación -- SIMPLE, se mantienen la autonomía de los entes territoriales para la definición de los elementos del hecho generador, base gravable, tarifa y sujetos pasivos, de conformidad con las leyes vigentes.</w:t>
      </w:r>
    </w:p>
    <w:p w14:paraId="045A3A1A" w14:textId="77777777" w:rsidR="00040448" w:rsidRPr="00F53530" w:rsidRDefault="00280B8A" w:rsidP="00C44821">
      <w:pPr>
        <w:spacing w:before="240" w:after="240" w:line="240" w:lineRule="auto"/>
        <w:jc w:val="both"/>
        <w:rPr>
          <w:rFonts w:ascii="Times New Roman" w:hAnsi="Times New Roman"/>
          <w:i/>
        </w:rPr>
      </w:pPr>
      <w:r w:rsidRPr="003E0CA1">
        <w:rPr>
          <w:rFonts w:ascii="Times New Roman" w:hAnsi="Times New Roman"/>
          <w:b/>
          <w:bCs/>
          <w:i/>
        </w:rPr>
        <w:t>PARÁGRAFO.</w:t>
      </w:r>
      <w:r w:rsidRPr="00F53530">
        <w:rPr>
          <w:rFonts w:ascii="Times New Roman" w:hAnsi="Times New Roman"/>
          <w:i/>
        </w:rPr>
        <w:t xml:space="preserve"> </w:t>
      </w:r>
      <w:r w:rsidR="00040448" w:rsidRPr="00F53530">
        <w:rPr>
          <w:rFonts w:ascii="Times New Roman" w:hAnsi="Times New Roman"/>
          <w:i/>
        </w:rPr>
        <w:t>Los ingresos constitutivos de ganancia ocasional no integran la base gravable del impuesto unificado bajo el régimen simple de tributación-SIMPLE. Tampoco integran la base gravable los ingresos no constitutivos de renta ni ganancia ocasional.</w:t>
      </w:r>
    </w:p>
    <w:p w14:paraId="045A3A1B" w14:textId="77777777" w:rsidR="00040448" w:rsidRPr="00F53530" w:rsidRDefault="00040448" w:rsidP="00C44821">
      <w:pPr>
        <w:spacing w:before="240" w:after="240" w:line="240" w:lineRule="auto"/>
        <w:jc w:val="both"/>
        <w:rPr>
          <w:rFonts w:ascii="Times New Roman" w:hAnsi="Times New Roman"/>
          <w:i/>
        </w:rPr>
      </w:pPr>
      <w:r w:rsidRPr="003E0CA1">
        <w:rPr>
          <w:rFonts w:ascii="Times New Roman" w:hAnsi="Times New Roman"/>
          <w:b/>
          <w:bCs/>
          <w:i/>
        </w:rPr>
        <w:t>Artículo 905</w:t>
      </w:r>
      <w:r w:rsidR="00280B8A" w:rsidRPr="003E0CA1">
        <w:rPr>
          <w:rFonts w:ascii="Times New Roman" w:hAnsi="Times New Roman"/>
          <w:b/>
          <w:bCs/>
          <w:i/>
        </w:rPr>
        <w:t>.</w:t>
      </w:r>
      <w:r w:rsidRPr="003E0CA1">
        <w:rPr>
          <w:rFonts w:ascii="Times New Roman" w:hAnsi="Times New Roman"/>
          <w:b/>
          <w:bCs/>
          <w:i/>
        </w:rPr>
        <w:t xml:space="preserve"> Sujetos pasivos.</w:t>
      </w:r>
      <w:r w:rsidRPr="00F53530">
        <w:rPr>
          <w:rFonts w:ascii="Times New Roman" w:hAnsi="Times New Roman"/>
          <w:i/>
        </w:rPr>
        <w:t xml:space="preserve"> Podrán ser sujetos pasivos del impuesto unificado bajo el régimen simple de tributación -- SIMPLE las personas naturales o jurídicas que reúnan la totalidad de las siguientes condiciones:</w:t>
      </w:r>
    </w:p>
    <w:p w14:paraId="045A3A1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1. Que se trate de una persona natural que desarrolle una empresa o de una persona jurídica en la que sus socios, partícipes o accionistas sean personas naturales, nacionales o extranjeras, residentes en Colombia.</w:t>
      </w:r>
    </w:p>
    <w:p w14:paraId="045A3A1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2. Que en el año gravable anterior hubieren obtenido </w:t>
      </w:r>
      <w:r w:rsidRPr="00052863">
        <w:rPr>
          <w:rFonts w:ascii="Times New Roman" w:hAnsi="Times New Roman"/>
          <w:i/>
          <w:u w:val="single"/>
        </w:rPr>
        <w:t>ingresos brutos</w:t>
      </w:r>
      <w:r w:rsidRPr="00F53530">
        <w:rPr>
          <w:rFonts w:ascii="Times New Roman" w:hAnsi="Times New Roman"/>
          <w:i/>
        </w:rPr>
        <w:t>, ordinarios o extraordinarios, inferiores a 80.000 UVT. En el caso de las empresas o personas jurídicas nuevas, la inscripción en el impuesto unificado bajo el régimen simple de tributación -- SIMPLE estará condicionada a que los ingresos del año no superen estos límites.</w:t>
      </w:r>
    </w:p>
    <w:p w14:paraId="045A3A1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3. Si uno de los socios persona natural tiene una o varias empresas o participa en una o varias sociedades, inscritas en el impuesto unificado bajo el régimen simple de tributación -- SIMPLE, los límites máximos de </w:t>
      </w:r>
      <w:r w:rsidRPr="00052863">
        <w:rPr>
          <w:rFonts w:ascii="Times New Roman" w:hAnsi="Times New Roman"/>
          <w:i/>
          <w:u w:val="single"/>
        </w:rPr>
        <w:t>ingresos brutos</w:t>
      </w:r>
      <w:r w:rsidRPr="00F53530">
        <w:rPr>
          <w:rFonts w:ascii="Times New Roman" w:hAnsi="Times New Roman"/>
          <w:i/>
        </w:rPr>
        <w:t xml:space="preserve"> se revisarán de forma consolidada y en la proporción a su participación en dichas empresas o sociedades.</w:t>
      </w:r>
    </w:p>
    <w:p w14:paraId="045A3A1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4. Si uno de los socios persona natural tiene una participación superior al 10% en una o varias sociedades no inscritas en el impuesto unificado bajo el régimen simple de tributación -- SIMPLE, los límites máximos de </w:t>
      </w:r>
      <w:r w:rsidRPr="00052863">
        <w:rPr>
          <w:rFonts w:ascii="Times New Roman" w:hAnsi="Times New Roman"/>
          <w:i/>
          <w:u w:val="single"/>
        </w:rPr>
        <w:t>ingresos brutos</w:t>
      </w:r>
      <w:r w:rsidRPr="00F53530">
        <w:rPr>
          <w:rFonts w:ascii="Times New Roman" w:hAnsi="Times New Roman"/>
          <w:i/>
        </w:rPr>
        <w:t xml:space="preserve"> se revisarán de forma consolidada y en la proporción a su participación en dichas sociedades.</w:t>
      </w:r>
    </w:p>
    <w:p w14:paraId="045A3A2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5. Si uno de los socios persona natural es gerente o administrador de otras empresas o sociedades, los límites máximos de </w:t>
      </w:r>
      <w:r w:rsidRPr="00052863">
        <w:rPr>
          <w:rFonts w:ascii="Times New Roman" w:hAnsi="Times New Roman"/>
          <w:i/>
          <w:u w:val="single"/>
        </w:rPr>
        <w:t>ingresos brutos</w:t>
      </w:r>
      <w:r w:rsidRPr="00F53530">
        <w:rPr>
          <w:rFonts w:ascii="Times New Roman" w:hAnsi="Times New Roman"/>
          <w:i/>
        </w:rPr>
        <w:t xml:space="preserve"> se revisarán de forma consolidada con los de las empresas o sociedades que administra.</w:t>
      </w:r>
    </w:p>
    <w:p w14:paraId="045A3A2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6. La persona natural o jurídica debe estar al día con sus obligaciones tributarias de carácter nacional, departamental y municipal, y con sus obligaciones de pago de contribuciones al Sistema de Seguridad Social Integral. También debe contar con la inscripción respectiva en el Registro Único Tributario (RUT) y con todos los mecanismos electrónicos de cumplimiento, firma electrónica y factura electrónica.</w:t>
      </w:r>
    </w:p>
    <w:p w14:paraId="045A3A22" w14:textId="77777777" w:rsidR="00040448" w:rsidRPr="00F53530" w:rsidRDefault="00280B8A" w:rsidP="00C44821">
      <w:pPr>
        <w:spacing w:before="240" w:after="240" w:line="240" w:lineRule="auto"/>
        <w:jc w:val="both"/>
        <w:rPr>
          <w:rFonts w:ascii="Times New Roman" w:hAnsi="Times New Roman"/>
          <w:i/>
        </w:rPr>
      </w:pPr>
      <w:r w:rsidRPr="003E0CA1">
        <w:rPr>
          <w:rFonts w:ascii="Times New Roman" w:hAnsi="Times New Roman"/>
          <w:b/>
          <w:bCs/>
          <w:i/>
        </w:rPr>
        <w:t>PARÁGRAFO.</w:t>
      </w:r>
      <w:r w:rsidRPr="00F53530">
        <w:rPr>
          <w:rFonts w:ascii="Times New Roman" w:hAnsi="Times New Roman"/>
          <w:i/>
        </w:rPr>
        <w:t xml:space="preserve"> </w:t>
      </w:r>
      <w:r w:rsidR="00040448" w:rsidRPr="00F53530">
        <w:rPr>
          <w:rFonts w:ascii="Times New Roman" w:hAnsi="Times New Roman"/>
          <w:i/>
        </w:rPr>
        <w:t>Para efectos de la consolidación de los límites máximos de ingresos que tratan los numerales 3, 4 y 5 de este artículo, se tendrán en cuenta únicamente los ingresos para efectos fiscales.</w:t>
      </w:r>
    </w:p>
    <w:p w14:paraId="045A3A23" w14:textId="77777777" w:rsidR="00040448" w:rsidRPr="00F53530" w:rsidRDefault="00040448" w:rsidP="00C44821">
      <w:pPr>
        <w:spacing w:before="240" w:after="240" w:line="240" w:lineRule="auto"/>
        <w:jc w:val="both"/>
        <w:rPr>
          <w:rFonts w:ascii="Times New Roman" w:hAnsi="Times New Roman"/>
          <w:i/>
        </w:rPr>
      </w:pPr>
      <w:r w:rsidRPr="003E0CA1">
        <w:rPr>
          <w:rFonts w:ascii="Times New Roman" w:hAnsi="Times New Roman"/>
          <w:b/>
          <w:bCs/>
          <w:i/>
        </w:rPr>
        <w:t>Artículo 906</w:t>
      </w:r>
      <w:r w:rsidR="00280B8A" w:rsidRPr="003E0CA1">
        <w:rPr>
          <w:rFonts w:ascii="Times New Roman" w:hAnsi="Times New Roman"/>
          <w:b/>
          <w:bCs/>
          <w:i/>
        </w:rPr>
        <w:t>.</w:t>
      </w:r>
      <w:r w:rsidRPr="003E0CA1">
        <w:rPr>
          <w:rFonts w:ascii="Times New Roman" w:hAnsi="Times New Roman"/>
          <w:b/>
          <w:bCs/>
          <w:i/>
        </w:rPr>
        <w:t xml:space="preserve"> Sujetos que no pueden optar por el impuesto unificado bajo el régimen simple de tributación - - simple</w:t>
      </w:r>
      <w:r w:rsidR="00280B8A" w:rsidRPr="003E0CA1">
        <w:rPr>
          <w:rFonts w:ascii="Times New Roman" w:hAnsi="Times New Roman"/>
          <w:b/>
          <w:bCs/>
          <w:i/>
        </w:rPr>
        <w:t>.</w:t>
      </w:r>
      <w:r w:rsidRPr="00F53530">
        <w:rPr>
          <w:rFonts w:ascii="Times New Roman" w:hAnsi="Times New Roman"/>
          <w:i/>
        </w:rPr>
        <w:t xml:space="preserve"> No podrán optar por el impuesto unificado bajo el régimen simple de tributación -- SIMPLE:</w:t>
      </w:r>
    </w:p>
    <w:p w14:paraId="045A3A2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Las personas jurídicas extranjeras o sus establecimientos permanentes.</w:t>
      </w:r>
    </w:p>
    <w:p w14:paraId="045A3A2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Las personas naturales sin residencia en el país o sus establecimientos permanentes.</w:t>
      </w:r>
    </w:p>
    <w:p w14:paraId="045A3A2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Las personas naturales residentes en el país que en el ejercicio de sus actividades configuren los elementos propios de un contrato realidad laboral o relación legal y reglamentaria de acuerdo con las normas vigentes. La Dirección de Impuestos y Aduanas Nacionales (DIAN) no requerirá pronunciamiento de otra autoridad judicial o administrativa para el efecto.</w:t>
      </w:r>
    </w:p>
    <w:p w14:paraId="045A3A2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4. Las sociedades cuyos socios o administradores tengan en sustancia una relación laboral con el contratante, por tratarse de servicios personales, prestados con habitualidad y subordinación.</w:t>
      </w:r>
    </w:p>
    <w:p w14:paraId="045A3A2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5. Las entidades que sean filiales, subsidiarias, agencias, sucursales, de personas jurídicas nacionales o extranjeras, o de extranjeros no residentes.</w:t>
      </w:r>
    </w:p>
    <w:p w14:paraId="045A3A2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6. Las sociedades que sean accionistas, suscriptores, partícipes, fideicomitentes o beneficiarios de otras sociedades o entidades legales, en Colombia o el exterior.</w:t>
      </w:r>
    </w:p>
    <w:p w14:paraId="045A3A2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7. Las sociedades que sean entidades financieras.</w:t>
      </w:r>
    </w:p>
    <w:p w14:paraId="045A3A2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8. Las personas naturales o jurídicas dedicadas a alguna de las siguientes actividades:</w:t>
      </w:r>
    </w:p>
    <w:p w14:paraId="045A3A2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Actividades de microcrédito;</w:t>
      </w:r>
    </w:p>
    <w:p w14:paraId="045A3A2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b) Actividades de gestión de activos, intermediación en la venta de activos, arrendamiento de activos y/o las actividades que generen ingresos pasivos que representen un 20% o más de los </w:t>
      </w:r>
      <w:r w:rsidRPr="00052863">
        <w:rPr>
          <w:rFonts w:ascii="Times New Roman" w:hAnsi="Times New Roman"/>
          <w:i/>
          <w:u w:val="single"/>
        </w:rPr>
        <w:t>ingresos brutos</w:t>
      </w:r>
      <w:r w:rsidRPr="00F53530">
        <w:rPr>
          <w:rFonts w:ascii="Times New Roman" w:hAnsi="Times New Roman"/>
          <w:i/>
        </w:rPr>
        <w:t xml:space="preserve"> totales de la persona natural o jurídica.</w:t>
      </w:r>
    </w:p>
    <w:p w14:paraId="045A3A2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Factoraje o factoring;</w:t>
      </w:r>
    </w:p>
    <w:p w14:paraId="045A3A2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d) Servicios de asesoría financiera y/o estructuración de créditos;</w:t>
      </w:r>
    </w:p>
    <w:p w14:paraId="045A3A3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 Generación, transmisión, distribución o comercialización de energía eléctrica;</w:t>
      </w:r>
    </w:p>
    <w:p w14:paraId="045A3A3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f) Actividad de fabricación, importación o comercialización de automóviles;</w:t>
      </w:r>
    </w:p>
    <w:p w14:paraId="045A3A3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g) Actividad de importación de combustibles;</w:t>
      </w:r>
    </w:p>
    <w:p w14:paraId="045A3A3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h) Producción o comercialización de armas de fuego, municiones y pólvoras, explosivos y detonantes.</w:t>
      </w:r>
    </w:p>
    <w:p w14:paraId="045A3A3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9. Las personas naturales o jurídicas que desarrollen simultáneamente una de las actividades relacionadas en el numeral 8 anterior y otra diferente.</w:t>
      </w:r>
    </w:p>
    <w:p w14:paraId="045A3A3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10. Las sociedades que sean el resultado de la segregación, división o escisión de un negocio, que haya ocurrido en los cinco (5) años anteriores al momento de la solicitud de inscripción.</w:t>
      </w:r>
    </w:p>
    <w:p w14:paraId="045A3A36" w14:textId="77777777" w:rsidR="00040448" w:rsidRPr="00F53530" w:rsidRDefault="00040448" w:rsidP="00C44821">
      <w:pPr>
        <w:spacing w:before="240" w:after="240" w:line="240" w:lineRule="auto"/>
        <w:jc w:val="both"/>
        <w:rPr>
          <w:rFonts w:ascii="Times New Roman" w:hAnsi="Times New Roman"/>
          <w:i/>
        </w:rPr>
      </w:pPr>
      <w:r w:rsidRPr="00AA006C">
        <w:rPr>
          <w:rFonts w:ascii="Times New Roman" w:hAnsi="Times New Roman"/>
          <w:b/>
          <w:bCs/>
          <w:i/>
        </w:rPr>
        <w:t>Artículo 907</w:t>
      </w:r>
      <w:r w:rsidR="00280B8A" w:rsidRPr="00AA006C">
        <w:rPr>
          <w:rFonts w:ascii="Times New Roman" w:hAnsi="Times New Roman"/>
          <w:b/>
          <w:bCs/>
          <w:i/>
        </w:rPr>
        <w:t>.</w:t>
      </w:r>
      <w:r w:rsidRPr="00AA006C">
        <w:rPr>
          <w:rFonts w:ascii="Times New Roman" w:hAnsi="Times New Roman"/>
          <w:b/>
          <w:bCs/>
          <w:i/>
        </w:rPr>
        <w:t xml:space="preserve"> Impuestos que comprenden e integran el impuesto unificado bajo el régimen simple de tributación - - simple</w:t>
      </w:r>
      <w:r w:rsidRPr="00F53530">
        <w:rPr>
          <w:rFonts w:ascii="Times New Roman" w:hAnsi="Times New Roman"/>
          <w:i/>
        </w:rPr>
        <w:t>. El impuesto unificado bajo el régimen simple de tributación -- SIMPLE comprende e integra los siguientes impuestos:</w:t>
      </w:r>
    </w:p>
    <w:p w14:paraId="045A3A3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Impuesto sobre la renta;</w:t>
      </w:r>
    </w:p>
    <w:p w14:paraId="045A3A3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Impuesto nacional al consumo, cuando se desarrollen servicios de expendio de comidas y bebidas;</w:t>
      </w:r>
    </w:p>
    <w:p w14:paraId="045A3A3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Impuesto de industria y comercio consolidado, de conformidad con las tarifas determinadas por los consejos municipales y distritales, según las leyes vigentes. Las tarifas del impuesto de industria y comercio consolidado se entienden integradas o incorporadas a la tarifa SIMPLE consolidada, que constituye un mecanismo para la facilitación del recaudo de este impuesto.</w:t>
      </w:r>
    </w:p>
    <w:p w14:paraId="045A3A3A" w14:textId="77777777" w:rsidR="00040448" w:rsidRPr="00F53530" w:rsidRDefault="00280B8A" w:rsidP="00C44821">
      <w:pPr>
        <w:spacing w:before="240" w:after="240" w:line="240" w:lineRule="auto"/>
        <w:jc w:val="both"/>
        <w:rPr>
          <w:rFonts w:ascii="Times New Roman" w:hAnsi="Times New Roman"/>
          <w:i/>
        </w:rPr>
      </w:pPr>
      <w:r w:rsidRPr="00AA006C">
        <w:rPr>
          <w:rFonts w:ascii="Times New Roman" w:hAnsi="Times New Roman"/>
          <w:b/>
          <w:bCs/>
          <w:i/>
        </w:rPr>
        <w:t>PARÁGRAFO TRANSITORIO.</w:t>
      </w:r>
      <w:r w:rsidR="00A03C6F" w:rsidRPr="00F53530">
        <w:rPr>
          <w:rFonts w:ascii="Times New Roman" w:hAnsi="Times New Roman"/>
          <w:i/>
        </w:rPr>
        <w:t xml:space="preserve"> </w:t>
      </w:r>
      <w:r w:rsidR="00040448" w:rsidRPr="00F53530">
        <w:rPr>
          <w:rFonts w:ascii="Times New Roman" w:hAnsi="Times New Roman"/>
          <w:i/>
        </w:rPr>
        <w:t>Antes del 31 de diciembre de 2020, los concejos municipales y distritales deberán proferir acuerdos con el propósito de establecer las tarifas únicas del impuesto de industria y comercio consolidado, aplicables bajo el régimen simple de tributación -- SIMPLE.</w:t>
      </w:r>
    </w:p>
    <w:p w14:paraId="045A3A3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Los acuerdos que profieran los concejos municipales y distritales deben establecer una única tarifa consolidada para cada grupo de actividades descritas en los numerales del artículo 908 de este Estatuto, que integren el impuesto de industria y comercio, complementarios y sobretasas, de </w:t>
      </w:r>
      <w:r w:rsidRPr="00F53530">
        <w:rPr>
          <w:rFonts w:ascii="Times New Roman" w:hAnsi="Times New Roman"/>
          <w:i/>
        </w:rPr>
        <w:lastRenderedPageBreak/>
        <w:t>conformidad con las leyes vigentes, respetando la autonomía de los entes territoriales y dentro de los límites dispuestos en las leyes vigentes.</w:t>
      </w:r>
    </w:p>
    <w:p w14:paraId="045A3A3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partir el 1 de enero de 2021, todos los municipios y distritos recaudarán el impuesto de industria y comercio a través del sistema del régimen simple de tributación -- SIMPLE respecto de los contribuyentes que se hayan acogido al régimen SIMPLE. Los municipios o distritos que a la entrada en vigencia de la presente ley hubieren integrado la tarifa del impuesto de industria y comercio consolidado al Régimen Simple de Tributación (Simple), lo recaudarán por medio de este a partir del 1de enero de 2020.</w:t>
      </w:r>
    </w:p>
    <w:p w14:paraId="045A3A3D" w14:textId="77777777" w:rsidR="00040448" w:rsidRPr="00F53530" w:rsidRDefault="00040448" w:rsidP="00C44821">
      <w:pPr>
        <w:spacing w:before="240" w:after="240" w:line="240" w:lineRule="auto"/>
        <w:jc w:val="both"/>
        <w:rPr>
          <w:rFonts w:ascii="Times New Roman" w:hAnsi="Times New Roman"/>
          <w:i/>
        </w:rPr>
      </w:pPr>
      <w:r w:rsidRPr="00AA006C">
        <w:rPr>
          <w:rFonts w:ascii="Times New Roman" w:hAnsi="Times New Roman"/>
          <w:b/>
          <w:bCs/>
          <w:i/>
        </w:rPr>
        <w:t>Artículo 908</w:t>
      </w:r>
      <w:r w:rsidR="00280B8A" w:rsidRPr="00AA006C">
        <w:rPr>
          <w:rFonts w:ascii="Times New Roman" w:hAnsi="Times New Roman"/>
          <w:b/>
          <w:bCs/>
          <w:i/>
        </w:rPr>
        <w:t>.</w:t>
      </w:r>
      <w:r w:rsidRPr="00AA006C">
        <w:rPr>
          <w:rFonts w:ascii="Times New Roman" w:hAnsi="Times New Roman"/>
          <w:b/>
          <w:bCs/>
          <w:i/>
        </w:rPr>
        <w:t xml:space="preserve"> Tarifa.</w:t>
      </w:r>
      <w:r w:rsidRPr="00F53530">
        <w:rPr>
          <w:rFonts w:ascii="Times New Roman" w:hAnsi="Times New Roman"/>
          <w:i/>
        </w:rPr>
        <w:t xml:space="preserve"> La tarifa del impuesto unificado bajo el régimen simple de tributación -- SIMPLE depende de los </w:t>
      </w:r>
      <w:r w:rsidRPr="00052863">
        <w:rPr>
          <w:rFonts w:ascii="Times New Roman" w:hAnsi="Times New Roman"/>
          <w:i/>
          <w:u w:val="single"/>
        </w:rPr>
        <w:t>ingresos brutos</w:t>
      </w:r>
      <w:r w:rsidRPr="00F53530">
        <w:rPr>
          <w:rFonts w:ascii="Times New Roman" w:hAnsi="Times New Roman"/>
          <w:i/>
        </w:rPr>
        <w:t xml:space="preserve"> anuales y de la actividad empresarial, así:</w:t>
      </w:r>
    </w:p>
    <w:p w14:paraId="045A3A3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1. Tiendas pequeñas, mini-mercados, </w:t>
      </w:r>
      <w:r w:rsidRPr="00F76E89">
        <w:rPr>
          <w:rFonts w:ascii="Times New Roman" w:hAnsi="Times New Roman"/>
          <w:i/>
          <w:u w:val="single"/>
        </w:rPr>
        <w:t>micro-mercados</w:t>
      </w:r>
      <w:r w:rsidRPr="00F53530">
        <w:rPr>
          <w:rFonts w:ascii="Times New Roman" w:hAnsi="Times New Roman"/>
          <w:i/>
        </w:rPr>
        <w:t xml:space="preserve"> y peluquería: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862"/>
        <w:gridCol w:w="1985"/>
      </w:tblGrid>
      <w:tr w:rsidR="00E4483A" w:rsidRPr="00F53530" w14:paraId="045A3A41" w14:textId="77777777" w:rsidTr="00677EDD">
        <w:trPr>
          <w:trHeight w:val="469"/>
          <w:jc w:val="center"/>
        </w:trPr>
        <w:tc>
          <w:tcPr>
            <w:tcW w:w="3798" w:type="dxa"/>
            <w:gridSpan w:val="2"/>
            <w:shd w:val="clear" w:color="auto" w:fill="auto"/>
            <w:vAlign w:val="center"/>
          </w:tcPr>
          <w:p w14:paraId="045A3A3F" w14:textId="77777777" w:rsidR="00E4483A" w:rsidRPr="00F53530" w:rsidRDefault="00E4483A" w:rsidP="00C44821">
            <w:pPr>
              <w:spacing w:after="0" w:line="240" w:lineRule="auto"/>
              <w:jc w:val="center"/>
              <w:rPr>
                <w:rFonts w:ascii="Times New Roman" w:hAnsi="Times New Roman"/>
                <w:b/>
                <w:i/>
              </w:rPr>
            </w:pPr>
            <w:r w:rsidRPr="00052863">
              <w:rPr>
                <w:rFonts w:ascii="Times New Roman" w:hAnsi="Times New Roman"/>
                <w:b/>
                <w:i/>
                <w:u w:val="single"/>
              </w:rPr>
              <w:t>Ingresos brutos</w:t>
            </w:r>
            <w:r w:rsidRPr="00F53530">
              <w:rPr>
                <w:rFonts w:ascii="Times New Roman" w:hAnsi="Times New Roman"/>
                <w:b/>
                <w:i/>
              </w:rPr>
              <w:t xml:space="preserve"> anuales</w:t>
            </w:r>
          </w:p>
        </w:tc>
        <w:tc>
          <w:tcPr>
            <w:tcW w:w="1985" w:type="dxa"/>
            <w:vMerge w:val="restart"/>
            <w:shd w:val="clear" w:color="auto" w:fill="auto"/>
            <w:vAlign w:val="center"/>
          </w:tcPr>
          <w:p w14:paraId="045A3A40" w14:textId="77777777" w:rsidR="00E4483A" w:rsidRPr="00F53530" w:rsidRDefault="00E4483A" w:rsidP="00C44821">
            <w:pPr>
              <w:spacing w:after="0" w:line="240" w:lineRule="auto"/>
              <w:jc w:val="center"/>
              <w:rPr>
                <w:rFonts w:ascii="Times New Roman" w:hAnsi="Times New Roman"/>
                <w:b/>
                <w:i/>
              </w:rPr>
            </w:pPr>
            <w:r w:rsidRPr="00F53530">
              <w:rPr>
                <w:rFonts w:ascii="Times New Roman" w:hAnsi="Times New Roman"/>
                <w:b/>
                <w:i/>
              </w:rPr>
              <w:t>Tarifa SIMPLE consolidada</w:t>
            </w:r>
          </w:p>
        </w:tc>
      </w:tr>
      <w:tr w:rsidR="00E4483A" w:rsidRPr="00F53530" w14:paraId="045A3A45" w14:textId="77777777" w:rsidTr="00677EDD">
        <w:trPr>
          <w:jc w:val="center"/>
        </w:trPr>
        <w:tc>
          <w:tcPr>
            <w:tcW w:w="1936" w:type="dxa"/>
            <w:shd w:val="clear" w:color="auto" w:fill="auto"/>
            <w:vAlign w:val="center"/>
          </w:tcPr>
          <w:p w14:paraId="045A3A42" w14:textId="77777777" w:rsidR="00E4483A" w:rsidRPr="00F53530" w:rsidRDefault="00E4483A" w:rsidP="00C44821">
            <w:pPr>
              <w:spacing w:after="0" w:line="240" w:lineRule="auto"/>
              <w:jc w:val="center"/>
              <w:rPr>
                <w:rFonts w:ascii="Times New Roman" w:hAnsi="Times New Roman"/>
                <w:b/>
                <w:i/>
              </w:rPr>
            </w:pPr>
            <w:r w:rsidRPr="00F53530">
              <w:rPr>
                <w:rFonts w:ascii="Times New Roman" w:hAnsi="Times New Roman"/>
                <w:b/>
                <w:i/>
              </w:rPr>
              <w:t>Igual o superior (UVT)</w:t>
            </w:r>
          </w:p>
        </w:tc>
        <w:tc>
          <w:tcPr>
            <w:tcW w:w="1862" w:type="dxa"/>
            <w:shd w:val="clear" w:color="auto" w:fill="auto"/>
            <w:vAlign w:val="center"/>
          </w:tcPr>
          <w:p w14:paraId="045A3A43" w14:textId="77777777" w:rsidR="00E4483A" w:rsidRPr="00F53530" w:rsidRDefault="00E4483A" w:rsidP="00C44821">
            <w:pPr>
              <w:spacing w:after="0" w:line="240" w:lineRule="auto"/>
              <w:jc w:val="center"/>
              <w:rPr>
                <w:rFonts w:ascii="Times New Roman" w:hAnsi="Times New Roman"/>
                <w:b/>
                <w:i/>
              </w:rPr>
            </w:pPr>
            <w:r w:rsidRPr="00F53530">
              <w:rPr>
                <w:rFonts w:ascii="Times New Roman" w:hAnsi="Times New Roman"/>
                <w:b/>
                <w:i/>
              </w:rPr>
              <w:t>Inferior (UVT)</w:t>
            </w:r>
          </w:p>
        </w:tc>
        <w:tc>
          <w:tcPr>
            <w:tcW w:w="1985" w:type="dxa"/>
            <w:vMerge/>
            <w:shd w:val="clear" w:color="auto" w:fill="auto"/>
            <w:vAlign w:val="center"/>
          </w:tcPr>
          <w:p w14:paraId="045A3A44" w14:textId="77777777" w:rsidR="00E4483A" w:rsidRPr="00F53530" w:rsidRDefault="00E4483A" w:rsidP="00C44821">
            <w:pPr>
              <w:spacing w:after="0" w:line="240" w:lineRule="auto"/>
              <w:jc w:val="center"/>
              <w:rPr>
                <w:rFonts w:ascii="Times New Roman" w:hAnsi="Times New Roman"/>
                <w:b/>
                <w:i/>
              </w:rPr>
            </w:pPr>
          </w:p>
        </w:tc>
      </w:tr>
      <w:tr w:rsidR="00E4483A" w:rsidRPr="00F53530" w14:paraId="045A3A49" w14:textId="77777777" w:rsidTr="00677EDD">
        <w:trPr>
          <w:jc w:val="center"/>
        </w:trPr>
        <w:tc>
          <w:tcPr>
            <w:tcW w:w="1936" w:type="dxa"/>
            <w:shd w:val="clear" w:color="auto" w:fill="auto"/>
            <w:vAlign w:val="center"/>
          </w:tcPr>
          <w:p w14:paraId="045A3A46" w14:textId="77777777" w:rsidR="00E4483A" w:rsidRPr="00F53530" w:rsidRDefault="00E4483A" w:rsidP="00C44821">
            <w:pPr>
              <w:spacing w:after="0" w:line="240" w:lineRule="auto"/>
              <w:jc w:val="center"/>
              <w:rPr>
                <w:rFonts w:ascii="Times New Roman" w:hAnsi="Times New Roman"/>
                <w:i/>
              </w:rPr>
            </w:pPr>
            <w:r w:rsidRPr="00F53530">
              <w:rPr>
                <w:rFonts w:ascii="Times New Roman" w:hAnsi="Times New Roman"/>
                <w:i/>
              </w:rPr>
              <w:t>0</w:t>
            </w:r>
          </w:p>
        </w:tc>
        <w:tc>
          <w:tcPr>
            <w:tcW w:w="1862" w:type="dxa"/>
            <w:shd w:val="clear" w:color="auto" w:fill="auto"/>
            <w:vAlign w:val="center"/>
          </w:tcPr>
          <w:p w14:paraId="045A3A47" w14:textId="77777777" w:rsidR="00E4483A" w:rsidRPr="00F53530" w:rsidRDefault="00E4483A" w:rsidP="00C44821">
            <w:pPr>
              <w:spacing w:after="0" w:line="240" w:lineRule="auto"/>
              <w:jc w:val="center"/>
              <w:rPr>
                <w:rFonts w:ascii="Times New Roman" w:hAnsi="Times New Roman"/>
                <w:i/>
              </w:rPr>
            </w:pPr>
            <w:r w:rsidRPr="00F53530">
              <w:rPr>
                <w:rFonts w:ascii="Times New Roman" w:hAnsi="Times New Roman"/>
                <w:i/>
              </w:rPr>
              <w:t>6.000</w:t>
            </w:r>
          </w:p>
        </w:tc>
        <w:tc>
          <w:tcPr>
            <w:tcW w:w="1985" w:type="dxa"/>
            <w:shd w:val="clear" w:color="auto" w:fill="auto"/>
            <w:vAlign w:val="center"/>
          </w:tcPr>
          <w:p w14:paraId="045A3A48" w14:textId="77777777" w:rsidR="00E4483A" w:rsidRPr="00F53530" w:rsidRDefault="00E4483A" w:rsidP="00C44821">
            <w:pPr>
              <w:spacing w:after="0" w:line="240" w:lineRule="auto"/>
              <w:jc w:val="center"/>
              <w:rPr>
                <w:rFonts w:ascii="Times New Roman" w:hAnsi="Times New Roman"/>
                <w:i/>
              </w:rPr>
            </w:pPr>
            <w:r w:rsidRPr="00F53530">
              <w:rPr>
                <w:rFonts w:ascii="Times New Roman" w:hAnsi="Times New Roman"/>
                <w:i/>
              </w:rPr>
              <w:t>2.0%</w:t>
            </w:r>
          </w:p>
        </w:tc>
      </w:tr>
      <w:tr w:rsidR="00E4483A" w:rsidRPr="00F53530" w14:paraId="045A3A4D" w14:textId="77777777" w:rsidTr="00677EDD">
        <w:trPr>
          <w:jc w:val="center"/>
        </w:trPr>
        <w:tc>
          <w:tcPr>
            <w:tcW w:w="1936" w:type="dxa"/>
            <w:shd w:val="clear" w:color="auto" w:fill="auto"/>
            <w:vAlign w:val="center"/>
          </w:tcPr>
          <w:p w14:paraId="045A3A4A" w14:textId="77777777" w:rsidR="00E4483A" w:rsidRPr="00F53530" w:rsidRDefault="00E4483A" w:rsidP="00C44821">
            <w:pPr>
              <w:spacing w:after="0" w:line="240" w:lineRule="auto"/>
              <w:jc w:val="center"/>
              <w:rPr>
                <w:rFonts w:ascii="Times New Roman" w:hAnsi="Times New Roman"/>
                <w:i/>
              </w:rPr>
            </w:pPr>
            <w:r w:rsidRPr="00F53530">
              <w:rPr>
                <w:rFonts w:ascii="Times New Roman" w:hAnsi="Times New Roman"/>
                <w:i/>
              </w:rPr>
              <w:t>6.000</w:t>
            </w:r>
          </w:p>
        </w:tc>
        <w:tc>
          <w:tcPr>
            <w:tcW w:w="1862" w:type="dxa"/>
            <w:shd w:val="clear" w:color="auto" w:fill="auto"/>
            <w:vAlign w:val="center"/>
          </w:tcPr>
          <w:p w14:paraId="045A3A4B" w14:textId="77777777" w:rsidR="00E4483A" w:rsidRPr="00F53530" w:rsidRDefault="00E4483A" w:rsidP="00C44821">
            <w:pPr>
              <w:spacing w:after="0" w:line="240" w:lineRule="auto"/>
              <w:jc w:val="center"/>
              <w:rPr>
                <w:rFonts w:ascii="Times New Roman" w:hAnsi="Times New Roman"/>
                <w:i/>
              </w:rPr>
            </w:pPr>
            <w:r w:rsidRPr="00F53530">
              <w:rPr>
                <w:rFonts w:ascii="Times New Roman" w:hAnsi="Times New Roman"/>
                <w:i/>
              </w:rPr>
              <w:t>15.000</w:t>
            </w:r>
          </w:p>
        </w:tc>
        <w:tc>
          <w:tcPr>
            <w:tcW w:w="1985" w:type="dxa"/>
            <w:shd w:val="clear" w:color="auto" w:fill="auto"/>
            <w:vAlign w:val="center"/>
          </w:tcPr>
          <w:p w14:paraId="045A3A4C" w14:textId="77777777" w:rsidR="00E4483A" w:rsidRPr="00F53530" w:rsidRDefault="00E4483A" w:rsidP="00C44821">
            <w:pPr>
              <w:spacing w:after="0" w:line="240" w:lineRule="auto"/>
              <w:jc w:val="center"/>
              <w:rPr>
                <w:rFonts w:ascii="Times New Roman" w:hAnsi="Times New Roman"/>
                <w:i/>
              </w:rPr>
            </w:pPr>
            <w:r w:rsidRPr="00F53530">
              <w:rPr>
                <w:rFonts w:ascii="Times New Roman" w:hAnsi="Times New Roman"/>
                <w:i/>
              </w:rPr>
              <w:t>2.8%</w:t>
            </w:r>
          </w:p>
        </w:tc>
      </w:tr>
      <w:tr w:rsidR="00E4483A" w:rsidRPr="00F53530" w14:paraId="045A3A51" w14:textId="77777777" w:rsidTr="00677EDD">
        <w:trPr>
          <w:jc w:val="center"/>
        </w:trPr>
        <w:tc>
          <w:tcPr>
            <w:tcW w:w="1936" w:type="dxa"/>
            <w:shd w:val="clear" w:color="auto" w:fill="auto"/>
            <w:vAlign w:val="center"/>
          </w:tcPr>
          <w:p w14:paraId="045A3A4E" w14:textId="77777777" w:rsidR="00E4483A" w:rsidRPr="00F53530" w:rsidRDefault="00E4483A" w:rsidP="00C44821">
            <w:pPr>
              <w:spacing w:after="0" w:line="240" w:lineRule="auto"/>
              <w:jc w:val="center"/>
              <w:rPr>
                <w:rFonts w:ascii="Times New Roman" w:hAnsi="Times New Roman"/>
                <w:i/>
              </w:rPr>
            </w:pPr>
            <w:r w:rsidRPr="00F53530">
              <w:rPr>
                <w:rFonts w:ascii="Times New Roman" w:hAnsi="Times New Roman"/>
                <w:i/>
              </w:rPr>
              <w:t>15.000</w:t>
            </w:r>
          </w:p>
        </w:tc>
        <w:tc>
          <w:tcPr>
            <w:tcW w:w="1862" w:type="dxa"/>
            <w:shd w:val="clear" w:color="auto" w:fill="auto"/>
            <w:vAlign w:val="center"/>
          </w:tcPr>
          <w:p w14:paraId="045A3A4F" w14:textId="77777777" w:rsidR="00E4483A" w:rsidRPr="00F53530" w:rsidRDefault="00E4483A" w:rsidP="00C44821">
            <w:pPr>
              <w:spacing w:after="0" w:line="240" w:lineRule="auto"/>
              <w:jc w:val="center"/>
              <w:rPr>
                <w:rFonts w:ascii="Times New Roman" w:hAnsi="Times New Roman"/>
                <w:i/>
              </w:rPr>
            </w:pPr>
            <w:r w:rsidRPr="00F53530">
              <w:rPr>
                <w:rFonts w:ascii="Times New Roman" w:hAnsi="Times New Roman"/>
                <w:i/>
              </w:rPr>
              <w:t>30.000</w:t>
            </w:r>
          </w:p>
        </w:tc>
        <w:tc>
          <w:tcPr>
            <w:tcW w:w="1985" w:type="dxa"/>
            <w:shd w:val="clear" w:color="auto" w:fill="auto"/>
            <w:vAlign w:val="center"/>
          </w:tcPr>
          <w:p w14:paraId="045A3A50" w14:textId="77777777" w:rsidR="00E4483A" w:rsidRPr="00F53530" w:rsidRDefault="00E4483A" w:rsidP="00C44821">
            <w:pPr>
              <w:spacing w:after="0" w:line="240" w:lineRule="auto"/>
              <w:jc w:val="center"/>
              <w:rPr>
                <w:rFonts w:ascii="Times New Roman" w:hAnsi="Times New Roman"/>
                <w:i/>
              </w:rPr>
            </w:pPr>
            <w:r w:rsidRPr="00F53530">
              <w:rPr>
                <w:rFonts w:ascii="Times New Roman" w:hAnsi="Times New Roman"/>
                <w:i/>
              </w:rPr>
              <w:t>8.1%</w:t>
            </w:r>
          </w:p>
        </w:tc>
      </w:tr>
      <w:tr w:rsidR="00E4483A" w:rsidRPr="00F53530" w14:paraId="045A3A55" w14:textId="77777777" w:rsidTr="00677EDD">
        <w:trPr>
          <w:jc w:val="center"/>
        </w:trPr>
        <w:tc>
          <w:tcPr>
            <w:tcW w:w="1936" w:type="dxa"/>
            <w:shd w:val="clear" w:color="auto" w:fill="auto"/>
            <w:vAlign w:val="center"/>
          </w:tcPr>
          <w:p w14:paraId="045A3A52" w14:textId="77777777" w:rsidR="00E4483A" w:rsidRPr="00F53530" w:rsidRDefault="00E4483A" w:rsidP="00C44821">
            <w:pPr>
              <w:spacing w:after="0" w:line="240" w:lineRule="auto"/>
              <w:jc w:val="center"/>
              <w:rPr>
                <w:rFonts w:ascii="Times New Roman" w:hAnsi="Times New Roman"/>
                <w:i/>
              </w:rPr>
            </w:pPr>
            <w:r w:rsidRPr="00F53530">
              <w:rPr>
                <w:rFonts w:ascii="Times New Roman" w:hAnsi="Times New Roman"/>
                <w:i/>
              </w:rPr>
              <w:t>30.000</w:t>
            </w:r>
          </w:p>
        </w:tc>
        <w:tc>
          <w:tcPr>
            <w:tcW w:w="1862" w:type="dxa"/>
            <w:shd w:val="clear" w:color="auto" w:fill="auto"/>
            <w:vAlign w:val="center"/>
          </w:tcPr>
          <w:p w14:paraId="045A3A53" w14:textId="77777777" w:rsidR="00E4483A" w:rsidRPr="00F53530" w:rsidRDefault="00E4483A" w:rsidP="00C44821">
            <w:pPr>
              <w:spacing w:after="0" w:line="240" w:lineRule="auto"/>
              <w:jc w:val="center"/>
              <w:rPr>
                <w:rFonts w:ascii="Times New Roman" w:hAnsi="Times New Roman"/>
                <w:i/>
              </w:rPr>
            </w:pPr>
            <w:r w:rsidRPr="00F53530">
              <w:rPr>
                <w:rFonts w:ascii="Times New Roman" w:hAnsi="Times New Roman"/>
                <w:i/>
              </w:rPr>
              <w:t>80.000</w:t>
            </w:r>
          </w:p>
        </w:tc>
        <w:tc>
          <w:tcPr>
            <w:tcW w:w="1985" w:type="dxa"/>
            <w:shd w:val="clear" w:color="auto" w:fill="auto"/>
            <w:vAlign w:val="center"/>
          </w:tcPr>
          <w:p w14:paraId="045A3A54" w14:textId="77777777" w:rsidR="00E4483A" w:rsidRPr="00F53530" w:rsidRDefault="00E4483A" w:rsidP="00C44821">
            <w:pPr>
              <w:spacing w:after="0" w:line="240" w:lineRule="auto"/>
              <w:jc w:val="center"/>
              <w:rPr>
                <w:rFonts w:ascii="Times New Roman" w:hAnsi="Times New Roman"/>
                <w:i/>
              </w:rPr>
            </w:pPr>
            <w:r w:rsidRPr="00F53530">
              <w:rPr>
                <w:rFonts w:ascii="Times New Roman" w:hAnsi="Times New Roman"/>
                <w:i/>
              </w:rPr>
              <w:t>11.6%</w:t>
            </w:r>
          </w:p>
        </w:tc>
      </w:tr>
    </w:tbl>
    <w:p w14:paraId="045A3A5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tbl>
      <w:tblPr>
        <w:tblW w:w="5850" w:type="dxa"/>
        <w:jc w:val="center"/>
        <w:tblCellMar>
          <w:left w:w="70" w:type="dxa"/>
          <w:right w:w="70" w:type="dxa"/>
        </w:tblCellMar>
        <w:tblLook w:val="04A0" w:firstRow="1" w:lastRow="0" w:firstColumn="1" w:lastColumn="0" w:noHBand="0" w:noVBand="1"/>
      </w:tblPr>
      <w:tblGrid>
        <w:gridCol w:w="1908"/>
        <w:gridCol w:w="2044"/>
        <w:gridCol w:w="1898"/>
      </w:tblGrid>
      <w:tr w:rsidR="00E4483A" w:rsidRPr="00F53530" w14:paraId="045A3A59" w14:textId="77777777" w:rsidTr="00677EDD">
        <w:trPr>
          <w:trHeight w:val="493"/>
          <w:jc w:val="center"/>
        </w:trPr>
        <w:tc>
          <w:tcPr>
            <w:tcW w:w="3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45A3A57"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052863">
              <w:rPr>
                <w:rFonts w:ascii="Times New Roman" w:eastAsia="Times New Roman" w:hAnsi="Times New Roman"/>
                <w:b/>
                <w:bCs/>
                <w:i/>
                <w:iCs/>
                <w:color w:val="000000"/>
                <w:u w:val="single"/>
                <w:lang w:eastAsia="es-CO"/>
              </w:rPr>
              <w:t>Ingresos brutos</w:t>
            </w:r>
            <w:r w:rsidRPr="00F53530">
              <w:rPr>
                <w:rFonts w:ascii="Times New Roman" w:eastAsia="Times New Roman" w:hAnsi="Times New Roman"/>
                <w:b/>
                <w:bCs/>
                <w:i/>
                <w:iCs/>
                <w:color w:val="000000"/>
                <w:lang w:eastAsia="es-CO"/>
              </w:rPr>
              <w:t xml:space="preserve"> anuales</w:t>
            </w:r>
          </w:p>
        </w:tc>
        <w:tc>
          <w:tcPr>
            <w:tcW w:w="18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5A3A58"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F53530">
              <w:rPr>
                <w:rFonts w:ascii="Times New Roman" w:eastAsia="Times New Roman" w:hAnsi="Times New Roman"/>
                <w:b/>
                <w:bCs/>
                <w:i/>
                <w:iCs/>
                <w:color w:val="000000"/>
                <w:lang w:eastAsia="es-CO"/>
              </w:rPr>
              <w:t>Tarifa SIMPLE consolidada</w:t>
            </w:r>
          </w:p>
        </w:tc>
      </w:tr>
      <w:tr w:rsidR="00E4483A" w:rsidRPr="00F53530" w14:paraId="045A3A5C" w14:textId="77777777" w:rsidTr="00677EDD">
        <w:trPr>
          <w:trHeight w:val="269"/>
          <w:jc w:val="center"/>
        </w:trPr>
        <w:tc>
          <w:tcPr>
            <w:tcW w:w="3952" w:type="dxa"/>
            <w:gridSpan w:val="2"/>
            <w:vMerge/>
            <w:tcBorders>
              <w:top w:val="single" w:sz="8" w:space="0" w:color="auto"/>
              <w:left w:val="single" w:sz="8" w:space="0" w:color="auto"/>
              <w:bottom w:val="single" w:sz="8" w:space="0" w:color="000000"/>
              <w:right w:val="single" w:sz="8" w:space="0" w:color="000000"/>
            </w:tcBorders>
            <w:vAlign w:val="center"/>
            <w:hideMark/>
          </w:tcPr>
          <w:p w14:paraId="045A3A5A"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p>
        </w:tc>
        <w:tc>
          <w:tcPr>
            <w:tcW w:w="1898" w:type="dxa"/>
            <w:vMerge/>
            <w:tcBorders>
              <w:top w:val="single" w:sz="8" w:space="0" w:color="auto"/>
              <w:left w:val="single" w:sz="8" w:space="0" w:color="auto"/>
              <w:bottom w:val="single" w:sz="8" w:space="0" w:color="000000"/>
              <w:right w:val="single" w:sz="8" w:space="0" w:color="auto"/>
            </w:tcBorders>
            <w:vAlign w:val="center"/>
            <w:hideMark/>
          </w:tcPr>
          <w:p w14:paraId="045A3A5B"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p>
        </w:tc>
      </w:tr>
      <w:tr w:rsidR="00E4483A" w:rsidRPr="00F53530" w14:paraId="045A3A60" w14:textId="77777777" w:rsidTr="00677EDD">
        <w:trPr>
          <w:trHeight w:val="254"/>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5D"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F53530">
              <w:rPr>
                <w:rFonts w:ascii="Times New Roman" w:eastAsia="Times New Roman" w:hAnsi="Times New Roman"/>
                <w:b/>
                <w:bCs/>
                <w:i/>
                <w:iCs/>
                <w:color w:val="000000"/>
                <w:lang w:eastAsia="es-CO"/>
              </w:rPr>
              <w:t>Igual o superior (UVT)</w:t>
            </w:r>
          </w:p>
        </w:tc>
        <w:tc>
          <w:tcPr>
            <w:tcW w:w="2044" w:type="dxa"/>
            <w:tcBorders>
              <w:top w:val="nil"/>
              <w:left w:val="nil"/>
              <w:bottom w:val="single" w:sz="8" w:space="0" w:color="auto"/>
              <w:right w:val="single" w:sz="8" w:space="0" w:color="auto"/>
            </w:tcBorders>
            <w:shd w:val="clear" w:color="auto" w:fill="auto"/>
            <w:vAlign w:val="center"/>
            <w:hideMark/>
          </w:tcPr>
          <w:p w14:paraId="045A3A5E"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F53530">
              <w:rPr>
                <w:rFonts w:ascii="Times New Roman" w:eastAsia="Times New Roman" w:hAnsi="Times New Roman"/>
                <w:b/>
                <w:bCs/>
                <w:i/>
                <w:iCs/>
                <w:color w:val="000000"/>
                <w:lang w:eastAsia="es-CO"/>
              </w:rPr>
              <w:t>Inferior (UVT)</w:t>
            </w:r>
          </w:p>
        </w:tc>
        <w:tc>
          <w:tcPr>
            <w:tcW w:w="1898" w:type="dxa"/>
            <w:vMerge/>
            <w:tcBorders>
              <w:top w:val="single" w:sz="8" w:space="0" w:color="auto"/>
              <w:left w:val="single" w:sz="8" w:space="0" w:color="auto"/>
              <w:bottom w:val="single" w:sz="8" w:space="0" w:color="000000"/>
              <w:right w:val="single" w:sz="8" w:space="0" w:color="auto"/>
            </w:tcBorders>
            <w:vAlign w:val="center"/>
            <w:hideMark/>
          </w:tcPr>
          <w:p w14:paraId="045A3A5F"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p>
        </w:tc>
      </w:tr>
      <w:tr w:rsidR="00E4483A" w:rsidRPr="00F53530" w14:paraId="045A3A64" w14:textId="77777777" w:rsidTr="00677EDD">
        <w:trPr>
          <w:trHeight w:val="315"/>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61" w14:textId="77777777" w:rsidR="00E4483A" w:rsidRPr="00F53530" w:rsidRDefault="00E4483A" w:rsidP="00C44821">
            <w:pPr>
              <w:spacing w:after="0" w:line="240" w:lineRule="auto"/>
              <w:jc w:val="center"/>
              <w:rPr>
                <w:rFonts w:ascii="Times New Roman" w:eastAsia="Times New Roman" w:hAnsi="Times New Roman"/>
                <w:i/>
                <w:iCs/>
                <w:color w:val="000000"/>
                <w:u w:val="single"/>
                <w:lang w:eastAsia="es-CO"/>
              </w:rPr>
            </w:pPr>
            <w:r w:rsidRPr="00F53530">
              <w:rPr>
                <w:rFonts w:ascii="Times New Roman" w:eastAsia="Times New Roman" w:hAnsi="Times New Roman"/>
                <w:i/>
                <w:iCs/>
                <w:color w:val="000000"/>
                <w:u w:val="single"/>
                <w:lang w:eastAsia="es-CO"/>
              </w:rPr>
              <w:t>0</w:t>
            </w:r>
          </w:p>
        </w:tc>
        <w:tc>
          <w:tcPr>
            <w:tcW w:w="2044" w:type="dxa"/>
            <w:tcBorders>
              <w:top w:val="nil"/>
              <w:left w:val="nil"/>
              <w:bottom w:val="single" w:sz="8" w:space="0" w:color="auto"/>
              <w:right w:val="single" w:sz="8" w:space="0" w:color="auto"/>
            </w:tcBorders>
            <w:shd w:val="clear" w:color="auto" w:fill="auto"/>
            <w:vAlign w:val="center"/>
            <w:hideMark/>
          </w:tcPr>
          <w:p w14:paraId="045A3A62"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6.000</w:t>
            </w:r>
          </w:p>
        </w:tc>
        <w:tc>
          <w:tcPr>
            <w:tcW w:w="1898" w:type="dxa"/>
            <w:tcBorders>
              <w:top w:val="nil"/>
              <w:left w:val="nil"/>
              <w:bottom w:val="single" w:sz="8" w:space="0" w:color="auto"/>
              <w:right w:val="single" w:sz="8" w:space="0" w:color="auto"/>
            </w:tcBorders>
            <w:shd w:val="clear" w:color="auto" w:fill="auto"/>
            <w:vAlign w:val="center"/>
            <w:hideMark/>
          </w:tcPr>
          <w:p w14:paraId="045A3A63"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1.8%</w:t>
            </w:r>
          </w:p>
        </w:tc>
      </w:tr>
      <w:tr w:rsidR="00E4483A" w:rsidRPr="00F53530" w14:paraId="045A3A68" w14:textId="77777777" w:rsidTr="00677EDD">
        <w:trPr>
          <w:trHeight w:val="315"/>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65"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6.000</w:t>
            </w:r>
          </w:p>
        </w:tc>
        <w:tc>
          <w:tcPr>
            <w:tcW w:w="2044" w:type="dxa"/>
            <w:tcBorders>
              <w:top w:val="nil"/>
              <w:left w:val="nil"/>
              <w:bottom w:val="single" w:sz="8" w:space="0" w:color="auto"/>
              <w:right w:val="single" w:sz="8" w:space="0" w:color="auto"/>
            </w:tcBorders>
            <w:shd w:val="clear" w:color="auto" w:fill="auto"/>
            <w:vAlign w:val="center"/>
            <w:hideMark/>
          </w:tcPr>
          <w:p w14:paraId="045A3A66"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15.000</w:t>
            </w:r>
          </w:p>
        </w:tc>
        <w:tc>
          <w:tcPr>
            <w:tcW w:w="1898" w:type="dxa"/>
            <w:tcBorders>
              <w:top w:val="nil"/>
              <w:left w:val="nil"/>
              <w:bottom w:val="single" w:sz="8" w:space="0" w:color="auto"/>
              <w:right w:val="single" w:sz="8" w:space="0" w:color="auto"/>
            </w:tcBorders>
            <w:shd w:val="clear" w:color="auto" w:fill="auto"/>
            <w:vAlign w:val="center"/>
            <w:hideMark/>
          </w:tcPr>
          <w:p w14:paraId="045A3A67"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2.2%</w:t>
            </w:r>
          </w:p>
        </w:tc>
      </w:tr>
      <w:tr w:rsidR="00E4483A" w:rsidRPr="00F53530" w14:paraId="045A3A6C" w14:textId="77777777" w:rsidTr="00677EDD">
        <w:trPr>
          <w:trHeight w:val="315"/>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69"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15.000</w:t>
            </w:r>
          </w:p>
        </w:tc>
        <w:tc>
          <w:tcPr>
            <w:tcW w:w="2044" w:type="dxa"/>
            <w:tcBorders>
              <w:top w:val="nil"/>
              <w:left w:val="nil"/>
              <w:bottom w:val="single" w:sz="8" w:space="0" w:color="auto"/>
              <w:right w:val="single" w:sz="8" w:space="0" w:color="auto"/>
            </w:tcBorders>
            <w:shd w:val="clear" w:color="auto" w:fill="auto"/>
            <w:vAlign w:val="center"/>
            <w:hideMark/>
          </w:tcPr>
          <w:p w14:paraId="045A3A6A"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30.000</w:t>
            </w:r>
          </w:p>
        </w:tc>
        <w:tc>
          <w:tcPr>
            <w:tcW w:w="1898" w:type="dxa"/>
            <w:tcBorders>
              <w:top w:val="nil"/>
              <w:left w:val="nil"/>
              <w:bottom w:val="single" w:sz="8" w:space="0" w:color="auto"/>
              <w:right w:val="single" w:sz="8" w:space="0" w:color="auto"/>
            </w:tcBorders>
            <w:shd w:val="clear" w:color="auto" w:fill="auto"/>
            <w:vAlign w:val="center"/>
            <w:hideMark/>
          </w:tcPr>
          <w:p w14:paraId="045A3A6B"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3.9%</w:t>
            </w:r>
          </w:p>
        </w:tc>
      </w:tr>
      <w:tr w:rsidR="00E4483A" w:rsidRPr="00F53530" w14:paraId="045A3A70" w14:textId="77777777" w:rsidTr="00677EDD">
        <w:trPr>
          <w:trHeight w:val="315"/>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6D"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30.000</w:t>
            </w:r>
          </w:p>
        </w:tc>
        <w:tc>
          <w:tcPr>
            <w:tcW w:w="2044" w:type="dxa"/>
            <w:tcBorders>
              <w:top w:val="nil"/>
              <w:left w:val="nil"/>
              <w:bottom w:val="single" w:sz="8" w:space="0" w:color="auto"/>
              <w:right w:val="single" w:sz="8" w:space="0" w:color="auto"/>
            </w:tcBorders>
            <w:shd w:val="clear" w:color="auto" w:fill="auto"/>
            <w:vAlign w:val="center"/>
            <w:hideMark/>
          </w:tcPr>
          <w:p w14:paraId="045A3A6E"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80.000</w:t>
            </w:r>
          </w:p>
        </w:tc>
        <w:tc>
          <w:tcPr>
            <w:tcW w:w="1898" w:type="dxa"/>
            <w:tcBorders>
              <w:top w:val="nil"/>
              <w:left w:val="nil"/>
              <w:bottom w:val="single" w:sz="8" w:space="0" w:color="auto"/>
              <w:right w:val="single" w:sz="8" w:space="0" w:color="auto"/>
            </w:tcBorders>
            <w:shd w:val="clear" w:color="auto" w:fill="auto"/>
            <w:vAlign w:val="center"/>
            <w:hideMark/>
          </w:tcPr>
          <w:p w14:paraId="045A3A6F"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5.4%</w:t>
            </w:r>
          </w:p>
        </w:tc>
      </w:tr>
    </w:tbl>
    <w:p w14:paraId="045A3A7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Servicios profesionales, de consultoría y científicos en los que predomine el factor intelectual sobre el material, incluidos los servicios de profesiones liberales:</w:t>
      </w:r>
    </w:p>
    <w:tbl>
      <w:tblPr>
        <w:tblW w:w="5850" w:type="dxa"/>
        <w:jc w:val="center"/>
        <w:tblCellMar>
          <w:left w:w="70" w:type="dxa"/>
          <w:right w:w="70" w:type="dxa"/>
        </w:tblCellMar>
        <w:tblLook w:val="04A0" w:firstRow="1" w:lastRow="0" w:firstColumn="1" w:lastColumn="0" w:noHBand="0" w:noVBand="1"/>
      </w:tblPr>
      <w:tblGrid>
        <w:gridCol w:w="1908"/>
        <w:gridCol w:w="2044"/>
        <w:gridCol w:w="1898"/>
      </w:tblGrid>
      <w:tr w:rsidR="00E4483A" w:rsidRPr="00F53530" w14:paraId="045A3A74" w14:textId="77777777" w:rsidTr="00677EDD">
        <w:trPr>
          <w:trHeight w:val="493"/>
          <w:jc w:val="center"/>
        </w:trPr>
        <w:tc>
          <w:tcPr>
            <w:tcW w:w="3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45A3A72"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052863">
              <w:rPr>
                <w:rFonts w:ascii="Times New Roman" w:eastAsia="Times New Roman" w:hAnsi="Times New Roman"/>
                <w:b/>
                <w:bCs/>
                <w:i/>
                <w:iCs/>
                <w:color w:val="000000"/>
                <w:u w:val="single"/>
                <w:lang w:eastAsia="es-CO"/>
              </w:rPr>
              <w:t>Ingresos brutos</w:t>
            </w:r>
            <w:r w:rsidRPr="00F53530">
              <w:rPr>
                <w:rFonts w:ascii="Times New Roman" w:eastAsia="Times New Roman" w:hAnsi="Times New Roman"/>
                <w:b/>
                <w:bCs/>
                <w:i/>
                <w:iCs/>
                <w:color w:val="000000"/>
                <w:lang w:eastAsia="es-CO"/>
              </w:rPr>
              <w:t xml:space="preserve"> anuales</w:t>
            </w:r>
          </w:p>
        </w:tc>
        <w:tc>
          <w:tcPr>
            <w:tcW w:w="18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5A3A73"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F53530">
              <w:rPr>
                <w:rFonts w:ascii="Times New Roman" w:eastAsia="Times New Roman" w:hAnsi="Times New Roman"/>
                <w:b/>
                <w:bCs/>
                <w:i/>
                <w:iCs/>
                <w:color w:val="000000"/>
                <w:lang w:eastAsia="es-CO"/>
              </w:rPr>
              <w:t>Tarifa SIMPLE consolidada</w:t>
            </w:r>
          </w:p>
        </w:tc>
      </w:tr>
      <w:tr w:rsidR="00E4483A" w:rsidRPr="00F53530" w14:paraId="045A3A77" w14:textId="77777777" w:rsidTr="00677EDD">
        <w:trPr>
          <w:trHeight w:val="269"/>
          <w:jc w:val="center"/>
        </w:trPr>
        <w:tc>
          <w:tcPr>
            <w:tcW w:w="3952" w:type="dxa"/>
            <w:gridSpan w:val="2"/>
            <w:vMerge/>
            <w:tcBorders>
              <w:top w:val="single" w:sz="8" w:space="0" w:color="auto"/>
              <w:left w:val="single" w:sz="8" w:space="0" w:color="auto"/>
              <w:bottom w:val="single" w:sz="8" w:space="0" w:color="000000"/>
              <w:right w:val="single" w:sz="8" w:space="0" w:color="000000"/>
            </w:tcBorders>
            <w:vAlign w:val="center"/>
            <w:hideMark/>
          </w:tcPr>
          <w:p w14:paraId="045A3A75"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p>
        </w:tc>
        <w:tc>
          <w:tcPr>
            <w:tcW w:w="1898" w:type="dxa"/>
            <w:vMerge/>
            <w:tcBorders>
              <w:top w:val="single" w:sz="8" w:space="0" w:color="auto"/>
              <w:left w:val="single" w:sz="8" w:space="0" w:color="auto"/>
              <w:bottom w:val="single" w:sz="8" w:space="0" w:color="000000"/>
              <w:right w:val="single" w:sz="8" w:space="0" w:color="auto"/>
            </w:tcBorders>
            <w:vAlign w:val="center"/>
            <w:hideMark/>
          </w:tcPr>
          <w:p w14:paraId="045A3A76"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p>
        </w:tc>
      </w:tr>
      <w:tr w:rsidR="00E4483A" w:rsidRPr="00F53530" w14:paraId="045A3A7B" w14:textId="77777777" w:rsidTr="00677EDD">
        <w:trPr>
          <w:trHeight w:val="254"/>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78"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F53530">
              <w:rPr>
                <w:rFonts w:ascii="Times New Roman" w:eastAsia="Times New Roman" w:hAnsi="Times New Roman"/>
                <w:b/>
                <w:bCs/>
                <w:i/>
                <w:iCs/>
                <w:color w:val="000000"/>
                <w:lang w:eastAsia="es-CO"/>
              </w:rPr>
              <w:t>Igual o superior (UVT)</w:t>
            </w:r>
          </w:p>
        </w:tc>
        <w:tc>
          <w:tcPr>
            <w:tcW w:w="2044" w:type="dxa"/>
            <w:tcBorders>
              <w:top w:val="nil"/>
              <w:left w:val="nil"/>
              <w:bottom w:val="single" w:sz="8" w:space="0" w:color="auto"/>
              <w:right w:val="single" w:sz="8" w:space="0" w:color="auto"/>
            </w:tcBorders>
            <w:shd w:val="clear" w:color="auto" w:fill="auto"/>
            <w:vAlign w:val="center"/>
            <w:hideMark/>
          </w:tcPr>
          <w:p w14:paraId="045A3A79"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F53530">
              <w:rPr>
                <w:rFonts w:ascii="Times New Roman" w:eastAsia="Times New Roman" w:hAnsi="Times New Roman"/>
                <w:b/>
                <w:bCs/>
                <w:i/>
                <w:iCs/>
                <w:color w:val="000000"/>
                <w:lang w:eastAsia="es-CO"/>
              </w:rPr>
              <w:t>Inferior (UVT)</w:t>
            </w:r>
          </w:p>
        </w:tc>
        <w:tc>
          <w:tcPr>
            <w:tcW w:w="1898" w:type="dxa"/>
            <w:vMerge/>
            <w:tcBorders>
              <w:top w:val="single" w:sz="8" w:space="0" w:color="auto"/>
              <w:left w:val="single" w:sz="8" w:space="0" w:color="auto"/>
              <w:bottom w:val="single" w:sz="8" w:space="0" w:color="000000"/>
              <w:right w:val="single" w:sz="8" w:space="0" w:color="auto"/>
            </w:tcBorders>
            <w:vAlign w:val="center"/>
            <w:hideMark/>
          </w:tcPr>
          <w:p w14:paraId="045A3A7A"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p>
        </w:tc>
      </w:tr>
      <w:tr w:rsidR="00E4483A" w:rsidRPr="00F53530" w14:paraId="045A3A7F" w14:textId="77777777" w:rsidTr="00677EDD">
        <w:trPr>
          <w:trHeight w:val="315"/>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7C" w14:textId="77777777" w:rsidR="00E4483A" w:rsidRPr="00F53530" w:rsidRDefault="00E4483A" w:rsidP="00C44821">
            <w:pPr>
              <w:spacing w:after="0" w:line="240" w:lineRule="auto"/>
              <w:jc w:val="center"/>
              <w:rPr>
                <w:rFonts w:ascii="Times New Roman" w:eastAsia="Times New Roman" w:hAnsi="Times New Roman"/>
                <w:i/>
                <w:iCs/>
                <w:color w:val="000000"/>
                <w:u w:val="single"/>
                <w:lang w:eastAsia="es-CO"/>
              </w:rPr>
            </w:pPr>
            <w:r w:rsidRPr="00F53530">
              <w:rPr>
                <w:rFonts w:ascii="Times New Roman" w:eastAsia="Times New Roman" w:hAnsi="Times New Roman"/>
                <w:i/>
                <w:iCs/>
                <w:color w:val="000000"/>
                <w:u w:val="single"/>
                <w:lang w:eastAsia="es-CO"/>
              </w:rPr>
              <w:t>0</w:t>
            </w:r>
          </w:p>
        </w:tc>
        <w:tc>
          <w:tcPr>
            <w:tcW w:w="2044" w:type="dxa"/>
            <w:tcBorders>
              <w:top w:val="nil"/>
              <w:left w:val="nil"/>
              <w:bottom w:val="single" w:sz="8" w:space="0" w:color="auto"/>
              <w:right w:val="single" w:sz="8" w:space="0" w:color="auto"/>
            </w:tcBorders>
            <w:shd w:val="clear" w:color="auto" w:fill="auto"/>
            <w:vAlign w:val="center"/>
            <w:hideMark/>
          </w:tcPr>
          <w:p w14:paraId="045A3A7D"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6.000</w:t>
            </w:r>
          </w:p>
        </w:tc>
        <w:tc>
          <w:tcPr>
            <w:tcW w:w="1898" w:type="dxa"/>
            <w:tcBorders>
              <w:top w:val="nil"/>
              <w:left w:val="nil"/>
              <w:bottom w:val="single" w:sz="8" w:space="0" w:color="auto"/>
              <w:right w:val="single" w:sz="8" w:space="0" w:color="auto"/>
            </w:tcBorders>
            <w:shd w:val="clear" w:color="auto" w:fill="auto"/>
            <w:vAlign w:val="center"/>
            <w:hideMark/>
          </w:tcPr>
          <w:p w14:paraId="045A3A7E"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5.9%</w:t>
            </w:r>
          </w:p>
        </w:tc>
      </w:tr>
      <w:tr w:rsidR="00E4483A" w:rsidRPr="00F53530" w14:paraId="045A3A83" w14:textId="77777777" w:rsidTr="00677EDD">
        <w:trPr>
          <w:trHeight w:val="315"/>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80"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lastRenderedPageBreak/>
              <w:t>6.000</w:t>
            </w:r>
          </w:p>
        </w:tc>
        <w:tc>
          <w:tcPr>
            <w:tcW w:w="2044" w:type="dxa"/>
            <w:tcBorders>
              <w:top w:val="nil"/>
              <w:left w:val="nil"/>
              <w:bottom w:val="single" w:sz="8" w:space="0" w:color="auto"/>
              <w:right w:val="single" w:sz="8" w:space="0" w:color="auto"/>
            </w:tcBorders>
            <w:shd w:val="clear" w:color="auto" w:fill="auto"/>
            <w:vAlign w:val="center"/>
            <w:hideMark/>
          </w:tcPr>
          <w:p w14:paraId="045A3A81"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15.000</w:t>
            </w:r>
          </w:p>
        </w:tc>
        <w:tc>
          <w:tcPr>
            <w:tcW w:w="1898" w:type="dxa"/>
            <w:tcBorders>
              <w:top w:val="nil"/>
              <w:left w:val="nil"/>
              <w:bottom w:val="single" w:sz="8" w:space="0" w:color="auto"/>
              <w:right w:val="single" w:sz="8" w:space="0" w:color="auto"/>
            </w:tcBorders>
            <w:shd w:val="clear" w:color="auto" w:fill="auto"/>
            <w:vAlign w:val="center"/>
            <w:hideMark/>
          </w:tcPr>
          <w:p w14:paraId="045A3A82"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7.3%</w:t>
            </w:r>
          </w:p>
        </w:tc>
      </w:tr>
      <w:tr w:rsidR="00E4483A" w:rsidRPr="00F53530" w14:paraId="045A3A87" w14:textId="77777777" w:rsidTr="00677EDD">
        <w:trPr>
          <w:trHeight w:val="315"/>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84"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15.000</w:t>
            </w:r>
          </w:p>
        </w:tc>
        <w:tc>
          <w:tcPr>
            <w:tcW w:w="2044" w:type="dxa"/>
            <w:tcBorders>
              <w:top w:val="nil"/>
              <w:left w:val="nil"/>
              <w:bottom w:val="single" w:sz="8" w:space="0" w:color="auto"/>
              <w:right w:val="single" w:sz="8" w:space="0" w:color="auto"/>
            </w:tcBorders>
            <w:shd w:val="clear" w:color="auto" w:fill="auto"/>
            <w:vAlign w:val="center"/>
            <w:hideMark/>
          </w:tcPr>
          <w:p w14:paraId="045A3A85"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30.000</w:t>
            </w:r>
          </w:p>
        </w:tc>
        <w:tc>
          <w:tcPr>
            <w:tcW w:w="1898" w:type="dxa"/>
            <w:tcBorders>
              <w:top w:val="nil"/>
              <w:left w:val="nil"/>
              <w:bottom w:val="single" w:sz="8" w:space="0" w:color="auto"/>
              <w:right w:val="single" w:sz="8" w:space="0" w:color="auto"/>
            </w:tcBorders>
            <w:shd w:val="clear" w:color="auto" w:fill="auto"/>
            <w:vAlign w:val="center"/>
            <w:hideMark/>
          </w:tcPr>
          <w:p w14:paraId="045A3A86"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12%</w:t>
            </w:r>
          </w:p>
        </w:tc>
      </w:tr>
      <w:tr w:rsidR="00E4483A" w:rsidRPr="00F53530" w14:paraId="045A3A8B" w14:textId="77777777" w:rsidTr="00677EDD">
        <w:trPr>
          <w:trHeight w:val="315"/>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88"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30.000</w:t>
            </w:r>
          </w:p>
        </w:tc>
        <w:tc>
          <w:tcPr>
            <w:tcW w:w="2044" w:type="dxa"/>
            <w:tcBorders>
              <w:top w:val="nil"/>
              <w:left w:val="nil"/>
              <w:bottom w:val="single" w:sz="8" w:space="0" w:color="auto"/>
              <w:right w:val="single" w:sz="8" w:space="0" w:color="auto"/>
            </w:tcBorders>
            <w:shd w:val="clear" w:color="auto" w:fill="auto"/>
            <w:vAlign w:val="center"/>
            <w:hideMark/>
          </w:tcPr>
          <w:p w14:paraId="045A3A89"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80.000</w:t>
            </w:r>
          </w:p>
        </w:tc>
        <w:tc>
          <w:tcPr>
            <w:tcW w:w="1898" w:type="dxa"/>
            <w:tcBorders>
              <w:top w:val="nil"/>
              <w:left w:val="nil"/>
              <w:bottom w:val="single" w:sz="8" w:space="0" w:color="auto"/>
              <w:right w:val="single" w:sz="8" w:space="0" w:color="auto"/>
            </w:tcBorders>
            <w:shd w:val="clear" w:color="auto" w:fill="auto"/>
            <w:vAlign w:val="center"/>
            <w:hideMark/>
          </w:tcPr>
          <w:p w14:paraId="045A3A8A"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14.5%</w:t>
            </w:r>
          </w:p>
        </w:tc>
      </w:tr>
    </w:tbl>
    <w:p w14:paraId="045A3A8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4. Actividades de expendio de comidas y bebidas, y actividades de transporte:</w:t>
      </w:r>
    </w:p>
    <w:tbl>
      <w:tblPr>
        <w:tblW w:w="5850" w:type="dxa"/>
        <w:jc w:val="center"/>
        <w:tblCellMar>
          <w:left w:w="70" w:type="dxa"/>
          <w:right w:w="70" w:type="dxa"/>
        </w:tblCellMar>
        <w:tblLook w:val="04A0" w:firstRow="1" w:lastRow="0" w:firstColumn="1" w:lastColumn="0" w:noHBand="0" w:noVBand="1"/>
      </w:tblPr>
      <w:tblGrid>
        <w:gridCol w:w="1908"/>
        <w:gridCol w:w="2044"/>
        <w:gridCol w:w="1898"/>
      </w:tblGrid>
      <w:tr w:rsidR="00E4483A" w:rsidRPr="00F53530" w14:paraId="045A3A8F" w14:textId="77777777" w:rsidTr="00D27CCB">
        <w:trPr>
          <w:trHeight w:val="493"/>
          <w:jc w:val="center"/>
        </w:trPr>
        <w:tc>
          <w:tcPr>
            <w:tcW w:w="39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45A3A8D"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052863">
              <w:rPr>
                <w:rFonts w:ascii="Times New Roman" w:eastAsia="Times New Roman" w:hAnsi="Times New Roman"/>
                <w:b/>
                <w:bCs/>
                <w:i/>
                <w:iCs/>
                <w:color w:val="000000"/>
                <w:u w:val="single"/>
                <w:lang w:eastAsia="es-CO"/>
              </w:rPr>
              <w:t>Ingresos brutos</w:t>
            </w:r>
            <w:r w:rsidRPr="00F53530">
              <w:rPr>
                <w:rFonts w:ascii="Times New Roman" w:eastAsia="Times New Roman" w:hAnsi="Times New Roman"/>
                <w:b/>
                <w:bCs/>
                <w:i/>
                <w:iCs/>
                <w:color w:val="000000"/>
                <w:lang w:eastAsia="es-CO"/>
              </w:rPr>
              <w:t xml:space="preserve"> anuales</w:t>
            </w:r>
          </w:p>
        </w:tc>
        <w:tc>
          <w:tcPr>
            <w:tcW w:w="18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5A3A8E"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F53530">
              <w:rPr>
                <w:rFonts w:ascii="Times New Roman" w:eastAsia="Times New Roman" w:hAnsi="Times New Roman"/>
                <w:b/>
                <w:bCs/>
                <w:i/>
                <w:iCs/>
                <w:color w:val="000000"/>
                <w:lang w:eastAsia="es-CO"/>
              </w:rPr>
              <w:t>Tarifa SIMPLE consolidada</w:t>
            </w:r>
          </w:p>
        </w:tc>
      </w:tr>
      <w:tr w:rsidR="00E4483A" w:rsidRPr="00F53530" w14:paraId="045A3A92" w14:textId="77777777" w:rsidTr="00D27CCB">
        <w:trPr>
          <w:trHeight w:val="269"/>
          <w:jc w:val="center"/>
        </w:trPr>
        <w:tc>
          <w:tcPr>
            <w:tcW w:w="3952" w:type="dxa"/>
            <w:gridSpan w:val="2"/>
            <w:vMerge/>
            <w:tcBorders>
              <w:top w:val="single" w:sz="8" w:space="0" w:color="auto"/>
              <w:left w:val="single" w:sz="8" w:space="0" w:color="auto"/>
              <w:bottom w:val="single" w:sz="8" w:space="0" w:color="000000"/>
              <w:right w:val="single" w:sz="8" w:space="0" w:color="000000"/>
            </w:tcBorders>
            <w:vAlign w:val="center"/>
            <w:hideMark/>
          </w:tcPr>
          <w:p w14:paraId="045A3A90"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p>
        </w:tc>
        <w:tc>
          <w:tcPr>
            <w:tcW w:w="1898" w:type="dxa"/>
            <w:vMerge/>
            <w:tcBorders>
              <w:top w:val="single" w:sz="8" w:space="0" w:color="auto"/>
              <w:left w:val="single" w:sz="8" w:space="0" w:color="auto"/>
              <w:bottom w:val="single" w:sz="8" w:space="0" w:color="000000"/>
              <w:right w:val="single" w:sz="8" w:space="0" w:color="auto"/>
            </w:tcBorders>
            <w:vAlign w:val="center"/>
            <w:hideMark/>
          </w:tcPr>
          <w:p w14:paraId="045A3A91"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p>
        </w:tc>
      </w:tr>
      <w:tr w:rsidR="00E4483A" w:rsidRPr="00F53530" w14:paraId="045A3A96" w14:textId="77777777" w:rsidTr="00D27CCB">
        <w:trPr>
          <w:trHeight w:val="254"/>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93"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F53530">
              <w:rPr>
                <w:rFonts w:ascii="Times New Roman" w:eastAsia="Times New Roman" w:hAnsi="Times New Roman"/>
                <w:b/>
                <w:bCs/>
                <w:i/>
                <w:iCs/>
                <w:color w:val="000000"/>
                <w:lang w:eastAsia="es-CO"/>
              </w:rPr>
              <w:t>Igual o superior (UVT)</w:t>
            </w:r>
          </w:p>
        </w:tc>
        <w:tc>
          <w:tcPr>
            <w:tcW w:w="2044" w:type="dxa"/>
            <w:tcBorders>
              <w:top w:val="nil"/>
              <w:left w:val="nil"/>
              <w:bottom w:val="single" w:sz="8" w:space="0" w:color="auto"/>
              <w:right w:val="single" w:sz="8" w:space="0" w:color="auto"/>
            </w:tcBorders>
            <w:shd w:val="clear" w:color="auto" w:fill="auto"/>
            <w:vAlign w:val="center"/>
            <w:hideMark/>
          </w:tcPr>
          <w:p w14:paraId="045A3A94"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F53530">
              <w:rPr>
                <w:rFonts w:ascii="Times New Roman" w:eastAsia="Times New Roman" w:hAnsi="Times New Roman"/>
                <w:b/>
                <w:bCs/>
                <w:i/>
                <w:iCs/>
                <w:color w:val="000000"/>
                <w:lang w:eastAsia="es-CO"/>
              </w:rPr>
              <w:t>Inferior (UVT)</w:t>
            </w:r>
          </w:p>
        </w:tc>
        <w:tc>
          <w:tcPr>
            <w:tcW w:w="1898" w:type="dxa"/>
            <w:vMerge/>
            <w:tcBorders>
              <w:top w:val="single" w:sz="8" w:space="0" w:color="auto"/>
              <w:left w:val="single" w:sz="8" w:space="0" w:color="auto"/>
              <w:bottom w:val="single" w:sz="8" w:space="0" w:color="000000"/>
              <w:right w:val="single" w:sz="8" w:space="0" w:color="auto"/>
            </w:tcBorders>
            <w:vAlign w:val="center"/>
            <w:hideMark/>
          </w:tcPr>
          <w:p w14:paraId="045A3A95"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p>
        </w:tc>
      </w:tr>
      <w:tr w:rsidR="00E4483A" w:rsidRPr="00F53530" w14:paraId="045A3A9A" w14:textId="77777777" w:rsidTr="00D27CCB">
        <w:trPr>
          <w:trHeight w:val="315"/>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97" w14:textId="77777777" w:rsidR="00E4483A" w:rsidRPr="00F53530" w:rsidRDefault="00E4483A" w:rsidP="00C44821">
            <w:pPr>
              <w:spacing w:after="0" w:line="240" w:lineRule="auto"/>
              <w:jc w:val="center"/>
              <w:rPr>
                <w:rFonts w:ascii="Times New Roman" w:eastAsia="Times New Roman" w:hAnsi="Times New Roman"/>
                <w:i/>
                <w:iCs/>
                <w:color w:val="000000"/>
                <w:u w:val="single"/>
                <w:lang w:eastAsia="es-CO"/>
              </w:rPr>
            </w:pPr>
            <w:r w:rsidRPr="00F53530">
              <w:rPr>
                <w:rFonts w:ascii="Times New Roman" w:eastAsia="Times New Roman" w:hAnsi="Times New Roman"/>
                <w:i/>
                <w:iCs/>
                <w:color w:val="000000"/>
                <w:u w:val="single"/>
                <w:lang w:eastAsia="es-CO"/>
              </w:rPr>
              <w:t>0</w:t>
            </w:r>
          </w:p>
        </w:tc>
        <w:tc>
          <w:tcPr>
            <w:tcW w:w="2044" w:type="dxa"/>
            <w:tcBorders>
              <w:top w:val="nil"/>
              <w:left w:val="nil"/>
              <w:bottom w:val="single" w:sz="8" w:space="0" w:color="auto"/>
              <w:right w:val="single" w:sz="8" w:space="0" w:color="auto"/>
            </w:tcBorders>
            <w:shd w:val="clear" w:color="auto" w:fill="auto"/>
            <w:vAlign w:val="center"/>
            <w:hideMark/>
          </w:tcPr>
          <w:p w14:paraId="045A3A98"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6.000</w:t>
            </w:r>
          </w:p>
        </w:tc>
        <w:tc>
          <w:tcPr>
            <w:tcW w:w="1898" w:type="dxa"/>
            <w:tcBorders>
              <w:top w:val="nil"/>
              <w:left w:val="nil"/>
              <w:bottom w:val="single" w:sz="8" w:space="0" w:color="auto"/>
              <w:right w:val="single" w:sz="8" w:space="0" w:color="auto"/>
            </w:tcBorders>
            <w:shd w:val="clear" w:color="auto" w:fill="auto"/>
            <w:vAlign w:val="center"/>
            <w:hideMark/>
          </w:tcPr>
          <w:p w14:paraId="045A3A99"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3.4%</w:t>
            </w:r>
          </w:p>
        </w:tc>
      </w:tr>
      <w:tr w:rsidR="00E4483A" w:rsidRPr="00F53530" w14:paraId="045A3A9E" w14:textId="77777777" w:rsidTr="00D27CCB">
        <w:trPr>
          <w:trHeight w:val="315"/>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9B"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6.000</w:t>
            </w:r>
          </w:p>
        </w:tc>
        <w:tc>
          <w:tcPr>
            <w:tcW w:w="2044" w:type="dxa"/>
            <w:tcBorders>
              <w:top w:val="nil"/>
              <w:left w:val="nil"/>
              <w:bottom w:val="single" w:sz="8" w:space="0" w:color="auto"/>
              <w:right w:val="single" w:sz="8" w:space="0" w:color="auto"/>
            </w:tcBorders>
            <w:shd w:val="clear" w:color="auto" w:fill="auto"/>
            <w:vAlign w:val="center"/>
            <w:hideMark/>
          </w:tcPr>
          <w:p w14:paraId="045A3A9C"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15.000</w:t>
            </w:r>
          </w:p>
        </w:tc>
        <w:tc>
          <w:tcPr>
            <w:tcW w:w="1898" w:type="dxa"/>
            <w:tcBorders>
              <w:top w:val="nil"/>
              <w:left w:val="nil"/>
              <w:bottom w:val="single" w:sz="8" w:space="0" w:color="auto"/>
              <w:right w:val="single" w:sz="8" w:space="0" w:color="auto"/>
            </w:tcBorders>
            <w:shd w:val="clear" w:color="auto" w:fill="auto"/>
            <w:vAlign w:val="center"/>
            <w:hideMark/>
          </w:tcPr>
          <w:p w14:paraId="045A3A9D"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3.8%</w:t>
            </w:r>
          </w:p>
        </w:tc>
      </w:tr>
      <w:tr w:rsidR="00E4483A" w:rsidRPr="00F53530" w14:paraId="045A3AA2" w14:textId="77777777" w:rsidTr="00D27CCB">
        <w:trPr>
          <w:trHeight w:val="315"/>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9F"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15.000</w:t>
            </w:r>
          </w:p>
        </w:tc>
        <w:tc>
          <w:tcPr>
            <w:tcW w:w="2044" w:type="dxa"/>
            <w:tcBorders>
              <w:top w:val="nil"/>
              <w:left w:val="nil"/>
              <w:bottom w:val="single" w:sz="8" w:space="0" w:color="auto"/>
              <w:right w:val="single" w:sz="8" w:space="0" w:color="auto"/>
            </w:tcBorders>
            <w:shd w:val="clear" w:color="auto" w:fill="auto"/>
            <w:vAlign w:val="center"/>
            <w:hideMark/>
          </w:tcPr>
          <w:p w14:paraId="045A3AA0"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30.000</w:t>
            </w:r>
          </w:p>
        </w:tc>
        <w:tc>
          <w:tcPr>
            <w:tcW w:w="1898" w:type="dxa"/>
            <w:tcBorders>
              <w:top w:val="nil"/>
              <w:left w:val="nil"/>
              <w:bottom w:val="single" w:sz="8" w:space="0" w:color="auto"/>
              <w:right w:val="single" w:sz="8" w:space="0" w:color="auto"/>
            </w:tcBorders>
            <w:shd w:val="clear" w:color="auto" w:fill="auto"/>
            <w:vAlign w:val="center"/>
            <w:hideMark/>
          </w:tcPr>
          <w:p w14:paraId="045A3AA1"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5.5%</w:t>
            </w:r>
          </w:p>
        </w:tc>
      </w:tr>
      <w:tr w:rsidR="00E4483A" w:rsidRPr="00F53530" w14:paraId="045A3AA6" w14:textId="77777777" w:rsidTr="00D27CCB">
        <w:trPr>
          <w:trHeight w:val="315"/>
          <w:jc w:val="center"/>
        </w:trPr>
        <w:tc>
          <w:tcPr>
            <w:tcW w:w="1908" w:type="dxa"/>
            <w:tcBorders>
              <w:top w:val="nil"/>
              <w:left w:val="single" w:sz="8" w:space="0" w:color="auto"/>
              <w:bottom w:val="single" w:sz="8" w:space="0" w:color="auto"/>
              <w:right w:val="single" w:sz="8" w:space="0" w:color="auto"/>
            </w:tcBorders>
            <w:shd w:val="clear" w:color="auto" w:fill="auto"/>
            <w:vAlign w:val="center"/>
            <w:hideMark/>
          </w:tcPr>
          <w:p w14:paraId="045A3AA3"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30.000</w:t>
            </w:r>
          </w:p>
        </w:tc>
        <w:tc>
          <w:tcPr>
            <w:tcW w:w="2044" w:type="dxa"/>
            <w:tcBorders>
              <w:top w:val="nil"/>
              <w:left w:val="nil"/>
              <w:bottom w:val="single" w:sz="8" w:space="0" w:color="auto"/>
              <w:right w:val="single" w:sz="8" w:space="0" w:color="auto"/>
            </w:tcBorders>
            <w:shd w:val="clear" w:color="auto" w:fill="auto"/>
            <w:vAlign w:val="center"/>
            <w:hideMark/>
          </w:tcPr>
          <w:p w14:paraId="045A3AA4"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80.000</w:t>
            </w:r>
          </w:p>
        </w:tc>
        <w:tc>
          <w:tcPr>
            <w:tcW w:w="1898" w:type="dxa"/>
            <w:tcBorders>
              <w:top w:val="nil"/>
              <w:left w:val="nil"/>
              <w:bottom w:val="single" w:sz="8" w:space="0" w:color="auto"/>
              <w:right w:val="single" w:sz="8" w:space="0" w:color="auto"/>
            </w:tcBorders>
            <w:shd w:val="clear" w:color="auto" w:fill="auto"/>
            <w:vAlign w:val="center"/>
            <w:hideMark/>
          </w:tcPr>
          <w:p w14:paraId="045A3AA5"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7.0%</w:t>
            </w:r>
          </w:p>
        </w:tc>
      </w:tr>
    </w:tbl>
    <w:p w14:paraId="045A3AA7" w14:textId="77777777" w:rsidR="00040448" w:rsidRPr="00F53530" w:rsidRDefault="00280B8A" w:rsidP="00C44821">
      <w:pPr>
        <w:spacing w:before="240" w:after="240" w:line="240" w:lineRule="auto"/>
        <w:jc w:val="both"/>
        <w:rPr>
          <w:rFonts w:ascii="Times New Roman" w:hAnsi="Times New Roman"/>
          <w:i/>
        </w:rPr>
      </w:pPr>
      <w:r w:rsidRPr="00AA006C">
        <w:rPr>
          <w:rFonts w:ascii="Times New Roman" w:hAnsi="Times New Roman"/>
          <w:b/>
          <w:bCs/>
          <w:i/>
        </w:rPr>
        <w:t>PARÁGRAFO 1</w:t>
      </w:r>
      <w:r w:rsidRPr="00F53530">
        <w:rPr>
          <w:rFonts w:ascii="Times New Roman" w:hAnsi="Times New Roman"/>
          <w:i/>
        </w:rPr>
        <w:t>.</w:t>
      </w:r>
      <w:r w:rsidR="00A03C6F" w:rsidRPr="00F53530">
        <w:rPr>
          <w:rFonts w:ascii="Times New Roman" w:hAnsi="Times New Roman"/>
          <w:i/>
        </w:rPr>
        <w:t xml:space="preserve"> </w:t>
      </w:r>
      <w:r w:rsidR="00040448" w:rsidRPr="00F53530">
        <w:rPr>
          <w:rFonts w:ascii="Times New Roman" w:hAnsi="Times New Roman"/>
          <w:i/>
        </w:rPr>
        <w:t>Cuando se presten servicios de expendio de comidas y bebidas, se adicionará la tarifa del ocho por ciento (8%) por concepto del impuesto de consumo a la tarifa SIMPLE consolidada.</w:t>
      </w:r>
    </w:p>
    <w:p w14:paraId="045A3AA8" w14:textId="77777777" w:rsidR="00040448" w:rsidRPr="00F53530" w:rsidRDefault="00280B8A" w:rsidP="00C44821">
      <w:pPr>
        <w:spacing w:before="240" w:after="240" w:line="240" w:lineRule="auto"/>
        <w:jc w:val="both"/>
        <w:rPr>
          <w:rFonts w:ascii="Times New Roman" w:hAnsi="Times New Roman"/>
          <w:i/>
        </w:rPr>
      </w:pPr>
      <w:r w:rsidRPr="00AA006C">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En el caso del impuesto de industria y comercio consolidado, el Ministerio de Hacienda y Crédito Público desempeñará exclusivamente la función de recaudador y tendrá la obligación de transferir bimestralmente el impuesto recaudado a las autoridades municipales y distritales competentes, una vez se realice el recaudo.</w:t>
      </w:r>
    </w:p>
    <w:p w14:paraId="045A3AA9" w14:textId="77777777" w:rsidR="00040448" w:rsidRPr="00F53530" w:rsidRDefault="00280B8A" w:rsidP="00C44821">
      <w:pPr>
        <w:spacing w:before="240" w:after="240" w:line="240" w:lineRule="auto"/>
        <w:jc w:val="both"/>
        <w:rPr>
          <w:rFonts w:ascii="Times New Roman" w:hAnsi="Times New Roman"/>
          <w:i/>
        </w:rPr>
      </w:pPr>
      <w:r w:rsidRPr="00AA006C">
        <w:rPr>
          <w:rFonts w:ascii="Times New Roman" w:hAnsi="Times New Roman"/>
          <w:b/>
          <w:bCs/>
          <w:i/>
        </w:rPr>
        <w:t>PARÁGRAFO 3.</w:t>
      </w:r>
      <w:r w:rsidR="00A03C6F" w:rsidRPr="00F53530">
        <w:rPr>
          <w:rFonts w:ascii="Times New Roman" w:hAnsi="Times New Roman"/>
          <w:i/>
        </w:rPr>
        <w:t xml:space="preserve"> </w:t>
      </w:r>
      <w:r w:rsidR="00040448" w:rsidRPr="00F53530">
        <w:rPr>
          <w:rFonts w:ascii="Times New Roman" w:hAnsi="Times New Roman"/>
          <w:i/>
        </w:rPr>
        <w:t>Las autoridades municipales y distritales competentes deben informar a la Dirección de Impuestos y Aduanas Nacionales (DIAN), a más tardar el 31 de enero de cada año, todas las tarifas aplicables para esa vigencia a título del impuesto de industria y comercio consolidado dentro de su jurisdicción. En caso que se modifiquen las tarifas, las autoridades municipales y distritales competentes deben actualizar la información respecto a las mismas dentro del mes siguiente a su modificación.</w:t>
      </w:r>
    </w:p>
    <w:p w14:paraId="045A3AA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contribuyente debe informar a la Dirección de Impuestos y Aduanas Nacionales (DIAN) en el formulario que esta prescriba, el municipio o los municipios a los que corresponde el ingreso declarado, la actividad gravada, y el porcentaje del ingreso total que le corresponde a cada autoridad territorial. Esta información será compartida con todos los municipios para que puedan adelantar su gestión de fiscalización cuando lo consideren conveniente.</w:t>
      </w:r>
    </w:p>
    <w:p w14:paraId="045A3AAB" w14:textId="77777777" w:rsidR="00040448" w:rsidRPr="00F53530" w:rsidRDefault="00280B8A" w:rsidP="00C44821">
      <w:pPr>
        <w:spacing w:before="240" w:after="240" w:line="240" w:lineRule="auto"/>
        <w:jc w:val="both"/>
        <w:rPr>
          <w:rFonts w:ascii="Times New Roman" w:hAnsi="Times New Roman"/>
          <w:i/>
        </w:rPr>
      </w:pPr>
      <w:r w:rsidRPr="00AA006C">
        <w:rPr>
          <w:rFonts w:ascii="Times New Roman" w:hAnsi="Times New Roman"/>
          <w:b/>
          <w:bCs/>
          <w:i/>
        </w:rPr>
        <w:t>PARÁGRAFO 4</w:t>
      </w:r>
      <w:r w:rsidRPr="00F53530">
        <w:rPr>
          <w:rFonts w:ascii="Times New Roman" w:hAnsi="Times New Roman"/>
          <w:i/>
        </w:rPr>
        <w:t xml:space="preserve">. </w:t>
      </w:r>
      <w:r w:rsidR="00040448" w:rsidRPr="00F53530">
        <w:rPr>
          <w:rFonts w:ascii="Times New Roman" w:hAnsi="Times New Roman"/>
          <w:i/>
        </w:rPr>
        <w:t>Los contribuyentes del impuesto unificado bajo el régimen simple de tributación -- SIMPLE, están obligados a pagar de forma bimestral un anticipo a título de este impuesto, a través de los recibos de pago electrónico del régimen SIMPLE, el cual debe incluir la información sobre los ingresos que corresponde a cada municipio o distrito.</w:t>
      </w:r>
    </w:p>
    <w:p w14:paraId="045A3AA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La base del anticipo depende de los </w:t>
      </w:r>
      <w:r w:rsidRPr="00052863">
        <w:rPr>
          <w:rFonts w:ascii="Times New Roman" w:hAnsi="Times New Roman"/>
          <w:i/>
          <w:u w:val="single"/>
        </w:rPr>
        <w:t>ingresos brutos</w:t>
      </w:r>
      <w:r w:rsidRPr="00F53530">
        <w:rPr>
          <w:rFonts w:ascii="Times New Roman" w:hAnsi="Times New Roman"/>
          <w:i/>
        </w:rPr>
        <w:t xml:space="preserve"> bimestrales y de la actividad desarrollada, así:</w:t>
      </w:r>
    </w:p>
    <w:p w14:paraId="045A3AA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1. Tiendas pequeñas, mini-mercados, </w:t>
      </w:r>
      <w:r w:rsidRPr="00F76E89">
        <w:rPr>
          <w:rFonts w:ascii="Times New Roman" w:hAnsi="Times New Roman"/>
          <w:i/>
          <w:u w:val="single"/>
        </w:rPr>
        <w:t>micro-mercados</w:t>
      </w:r>
      <w:r w:rsidRPr="00F53530">
        <w:rPr>
          <w:rFonts w:ascii="Times New Roman" w:hAnsi="Times New Roman"/>
          <w:i/>
        </w:rPr>
        <w:t xml:space="preserve"> y peluquerías:</w:t>
      </w:r>
    </w:p>
    <w:tbl>
      <w:tblPr>
        <w:tblW w:w="5100" w:type="dxa"/>
        <w:jc w:val="center"/>
        <w:tblCellMar>
          <w:left w:w="70" w:type="dxa"/>
          <w:right w:w="70" w:type="dxa"/>
        </w:tblCellMar>
        <w:tblLook w:val="04A0" w:firstRow="1" w:lastRow="0" w:firstColumn="1" w:lastColumn="0" w:noHBand="0" w:noVBand="1"/>
      </w:tblPr>
      <w:tblGrid>
        <w:gridCol w:w="2400"/>
        <w:gridCol w:w="1200"/>
        <w:gridCol w:w="1500"/>
      </w:tblGrid>
      <w:tr w:rsidR="00E4483A" w:rsidRPr="00F53530" w14:paraId="045A3AB0" w14:textId="77777777" w:rsidTr="00A27298">
        <w:trPr>
          <w:trHeight w:val="300"/>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5A3AAE"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052863">
              <w:rPr>
                <w:rFonts w:ascii="Times New Roman" w:eastAsia="Times New Roman" w:hAnsi="Times New Roman"/>
                <w:b/>
                <w:bCs/>
                <w:i/>
                <w:iCs/>
                <w:color w:val="000000"/>
                <w:u w:val="single"/>
                <w:lang w:eastAsia="es-CO"/>
              </w:rPr>
              <w:t>Ingresos brutos</w:t>
            </w:r>
            <w:r w:rsidRPr="00F53530">
              <w:rPr>
                <w:rFonts w:ascii="Times New Roman" w:eastAsia="Times New Roman" w:hAnsi="Times New Roman"/>
                <w:b/>
                <w:bCs/>
                <w:i/>
                <w:iCs/>
                <w:color w:val="000000"/>
                <w:lang w:eastAsia="es-CO"/>
              </w:rPr>
              <w:t xml:space="preserve"> bimestrales</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A3AAF"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F53530">
              <w:rPr>
                <w:rFonts w:ascii="Times New Roman" w:eastAsia="Times New Roman" w:hAnsi="Times New Roman"/>
                <w:b/>
                <w:bCs/>
                <w:i/>
                <w:iCs/>
                <w:color w:val="000000"/>
                <w:lang w:eastAsia="es-CO"/>
              </w:rPr>
              <w:t>Tarifa SIMPLE consolidada (bimestral)</w:t>
            </w:r>
          </w:p>
        </w:tc>
      </w:tr>
      <w:tr w:rsidR="00E4483A" w:rsidRPr="00F53530" w14:paraId="045A3AB4" w14:textId="77777777" w:rsidTr="00A27298">
        <w:trPr>
          <w:trHeight w:val="9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AB1"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F53530">
              <w:rPr>
                <w:rFonts w:ascii="Times New Roman" w:eastAsia="Times New Roman" w:hAnsi="Times New Roman"/>
                <w:b/>
                <w:bCs/>
                <w:i/>
                <w:iCs/>
                <w:color w:val="000000"/>
                <w:lang w:eastAsia="es-CO"/>
              </w:rPr>
              <w:lastRenderedPageBreak/>
              <w:t>Igual o superior (UVT)</w:t>
            </w:r>
          </w:p>
        </w:tc>
        <w:tc>
          <w:tcPr>
            <w:tcW w:w="1200" w:type="dxa"/>
            <w:tcBorders>
              <w:top w:val="nil"/>
              <w:left w:val="nil"/>
              <w:bottom w:val="single" w:sz="4" w:space="0" w:color="auto"/>
              <w:right w:val="single" w:sz="4" w:space="0" w:color="auto"/>
            </w:tcBorders>
            <w:shd w:val="clear" w:color="auto" w:fill="auto"/>
            <w:vAlign w:val="center"/>
            <w:hideMark/>
          </w:tcPr>
          <w:p w14:paraId="045A3AB2"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r w:rsidRPr="00F53530">
              <w:rPr>
                <w:rFonts w:ascii="Times New Roman" w:eastAsia="Times New Roman" w:hAnsi="Times New Roman"/>
                <w:b/>
                <w:bCs/>
                <w:i/>
                <w:iCs/>
                <w:color w:val="000000"/>
                <w:lang w:eastAsia="es-CO"/>
              </w:rPr>
              <w:t>Inferior (UVT)</w:t>
            </w: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045A3AB3" w14:textId="77777777" w:rsidR="00E4483A" w:rsidRPr="00F53530" w:rsidRDefault="00E4483A" w:rsidP="00C44821">
            <w:pPr>
              <w:spacing w:after="0" w:line="240" w:lineRule="auto"/>
              <w:jc w:val="center"/>
              <w:rPr>
                <w:rFonts w:ascii="Times New Roman" w:eastAsia="Times New Roman" w:hAnsi="Times New Roman"/>
                <w:b/>
                <w:bCs/>
                <w:i/>
                <w:iCs/>
                <w:color w:val="000000"/>
                <w:lang w:eastAsia="es-CO"/>
              </w:rPr>
            </w:pPr>
          </w:p>
        </w:tc>
      </w:tr>
      <w:tr w:rsidR="00E4483A" w:rsidRPr="00F53530" w14:paraId="045A3AB8" w14:textId="77777777" w:rsidTr="00A27298">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AB5"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0</w:t>
            </w:r>
          </w:p>
        </w:tc>
        <w:tc>
          <w:tcPr>
            <w:tcW w:w="1200" w:type="dxa"/>
            <w:tcBorders>
              <w:top w:val="nil"/>
              <w:left w:val="nil"/>
              <w:bottom w:val="single" w:sz="4" w:space="0" w:color="auto"/>
              <w:right w:val="single" w:sz="4" w:space="0" w:color="auto"/>
            </w:tcBorders>
            <w:shd w:val="clear" w:color="auto" w:fill="auto"/>
            <w:vAlign w:val="center"/>
            <w:hideMark/>
          </w:tcPr>
          <w:p w14:paraId="045A3AB6"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1.000</w:t>
            </w:r>
          </w:p>
        </w:tc>
        <w:tc>
          <w:tcPr>
            <w:tcW w:w="1500" w:type="dxa"/>
            <w:tcBorders>
              <w:top w:val="nil"/>
              <w:left w:val="nil"/>
              <w:bottom w:val="single" w:sz="4" w:space="0" w:color="auto"/>
              <w:right w:val="single" w:sz="4" w:space="0" w:color="auto"/>
            </w:tcBorders>
            <w:shd w:val="clear" w:color="auto" w:fill="auto"/>
            <w:vAlign w:val="center"/>
            <w:hideMark/>
          </w:tcPr>
          <w:p w14:paraId="045A3AB7"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2.0%</w:t>
            </w:r>
          </w:p>
        </w:tc>
      </w:tr>
      <w:tr w:rsidR="00E4483A" w:rsidRPr="00F53530" w14:paraId="045A3ABC" w14:textId="77777777" w:rsidTr="00A27298">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AB9"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1.000</w:t>
            </w:r>
          </w:p>
        </w:tc>
        <w:tc>
          <w:tcPr>
            <w:tcW w:w="1200" w:type="dxa"/>
            <w:tcBorders>
              <w:top w:val="nil"/>
              <w:left w:val="nil"/>
              <w:bottom w:val="single" w:sz="4" w:space="0" w:color="auto"/>
              <w:right w:val="single" w:sz="4" w:space="0" w:color="auto"/>
            </w:tcBorders>
            <w:shd w:val="clear" w:color="auto" w:fill="auto"/>
            <w:vAlign w:val="center"/>
            <w:hideMark/>
          </w:tcPr>
          <w:p w14:paraId="045A3ABA"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2.500</w:t>
            </w:r>
          </w:p>
        </w:tc>
        <w:tc>
          <w:tcPr>
            <w:tcW w:w="1500" w:type="dxa"/>
            <w:tcBorders>
              <w:top w:val="nil"/>
              <w:left w:val="nil"/>
              <w:bottom w:val="single" w:sz="4" w:space="0" w:color="auto"/>
              <w:right w:val="single" w:sz="4" w:space="0" w:color="auto"/>
            </w:tcBorders>
            <w:shd w:val="clear" w:color="auto" w:fill="auto"/>
            <w:vAlign w:val="center"/>
            <w:hideMark/>
          </w:tcPr>
          <w:p w14:paraId="045A3ABB"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2.8%</w:t>
            </w:r>
          </w:p>
        </w:tc>
      </w:tr>
      <w:tr w:rsidR="00E4483A" w:rsidRPr="00F53530" w14:paraId="045A3AC0" w14:textId="77777777" w:rsidTr="00A27298">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ABD"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2.500</w:t>
            </w:r>
          </w:p>
        </w:tc>
        <w:tc>
          <w:tcPr>
            <w:tcW w:w="1200" w:type="dxa"/>
            <w:tcBorders>
              <w:top w:val="nil"/>
              <w:left w:val="nil"/>
              <w:bottom w:val="single" w:sz="4" w:space="0" w:color="auto"/>
              <w:right w:val="single" w:sz="4" w:space="0" w:color="auto"/>
            </w:tcBorders>
            <w:shd w:val="clear" w:color="auto" w:fill="auto"/>
            <w:vAlign w:val="center"/>
            <w:hideMark/>
          </w:tcPr>
          <w:p w14:paraId="045A3ABE"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5.000</w:t>
            </w:r>
          </w:p>
        </w:tc>
        <w:tc>
          <w:tcPr>
            <w:tcW w:w="1500" w:type="dxa"/>
            <w:tcBorders>
              <w:top w:val="nil"/>
              <w:left w:val="nil"/>
              <w:bottom w:val="single" w:sz="4" w:space="0" w:color="auto"/>
              <w:right w:val="single" w:sz="4" w:space="0" w:color="auto"/>
            </w:tcBorders>
            <w:shd w:val="clear" w:color="auto" w:fill="auto"/>
            <w:vAlign w:val="center"/>
            <w:hideMark/>
          </w:tcPr>
          <w:p w14:paraId="045A3ABF"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8.1%</w:t>
            </w:r>
          </w:p>
        </w:tc>
      </w:tr>
      <w:tr w:rsidR="00E4483A" w:rsidRPr="00F53530" w14:paraId="045A3AC4" w14:textId="77777777" w:rsidTr="00A27298">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AC1"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5.000</w:t>
            </w:r>
          </w:p>
        </w:tc>
        <w:tc>
          <w:tcPr>
            <w:tcW w:w="1200" w:type="dxa"/>
            <w:tcBorders>
              <w:top w:val="nil"/>
              <w:left w:val="nil"/>
              <w:bottom w:val="single" w:sz="4" w:space="0" w:color="auto"/>
              <w:right w:val="single" w:sz="4" w:space="0" w:color="auto"/>
            </w:tcBorders>
            <w:shd w:val="clear" w:color="auto" w:fill="auto"/>
            <w:vAlign w:val="center"/>
            <w:hideMark/>
          </w:tcPr>
          <w:p w14:paraId="045A3AC2"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13.334</w:t>
            </w:r>
          </w:p>
        </w:tc>
        <w:tc>
          <w:tcPr>
            <w:tcW w:w="1500" w:type="dxa"/>
            <w:tcBorders>
              <w:top w:val="nil"/>
              <w:left w:val="nil"/>
              <w:bottom w:val="single" w:sz="4" w:space="0" w:color="auto"/>
              <w:right w:val="single" w:sz="4" w:space="0" w:color="auto"/>
            </w:tcBorders>
            <w:shd w:val="clear" w:color="auto" w:fill="auto"/>
            <w:vAlign w:val="center"/>
            <w:hideMark/>
          </w:tcPr>
          <w:p w14:paraId="045A3AC3" w14:textId="77777777" w:rsidR="00E4483A" w:rsidRPr="00F53530" w:rsidRDefault="00E4483A" w:rsidP="00C44821">
            <w:pPr>
              <w:spacing w:after="0" w:line="240" w:lineRule="auto"/>
              <w:jc w:val="center"/>
              <w:rPr>
                <w:rFonts w:ascii="Times New Roman" w:eastAsia="Times New Roman" w:hAnsi="Times New Roman"/>
                <w:i/>
                <w:iCs/>
                <w:color w:val="000000"/>
                <w:lang w:eastAsia="es-CO"/>
              </w:rPr>
            </w:pPr>
            <w:r w:rsidRPr="00F53530">
              <w:rPr>
                <w:rFonts w:ascii="Times New Roman" w:eastAsia="Times New Roman" w:hAnsi="Times New Roman"/>
                <w:i/>
                <w:iCs/>
                <w:color w:val="000000"/>
                <w:lang w:eastAsia="es-CO"/>
              </w:rPr>
              <w:t>11.6%</w:t>
            </w:r>
          </w:p>
        </w:tc>
      </w:tr>
    </w:tbl>
    <w:p w14:paraId="045A3AC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tbl>
      <w:tblPr>
        <w:tblW w:w="5100" w:type="dxa"/>
        <w:jc w:val="center"/>
        <w:tblCellMar>
          <w:left w:w="70" w:type="dxa"/>
          <w:right w:w="70" w:type="dxa"/>
        </w:tblCellMar>
        <w:tblLook w:val="04A0" w:firstRow="1" w:lastRow="0" w:firstColumn="1" w:lastColumn="0" w:noHBand="0" w:noVBand="1"/>
      </w:tblPr>
      <w:tblGrid>
        <w:gridCol w:w="2400"/>
        <w:gridCol w:w="1200"/>
        <w:gridCol w:w="1500"/>
      </w:tblGrid>
      <w:tr w:rsidR="00E4483A" w:rsidRPr="00F53530" w14:paraId="045A3AC8" w14:textId="77777777" w:rsidTr="00A27298">
        <w:trPr>
          <w:trHeight w:val="300"/>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5A3AC6"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r w:rsidRPr="00052863">
              <w:rPr>
                <w:rFonts w:ascii="Times New Roman" w:eastAsia="Times New Roman" w:hAnsi="Times New Roman"/>
                <w:b/>
                <w:bCs/>
                <w:i/>
                <w:color w:val="000000"/>
                <w:u w:val="single"/>
                <w:lang w:eastAsia="es-CO"/>
              </w:rPr>
              <w:t>Ingresos brutos</w:t>
            </w:r>
            <w:r w:rsidRPr="00F53530">
              <w:rPr>
                <w:rFonts w:ascii="Times New Roman" w:eastAsia="Times New Roman" w:hAnsi="Times New Roman"/>
                <w:b/>
                <w:bCs/>
                <w:i/>
                <w:color w:val="000000"/>
                <w:lang w:eastAsia="es-CO"/>
              </w:rPr>
              <w:t xml:space="preserve"> bimestrales</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A3AC7"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Tarifa SIMPLE consolidada (bimestral)</w:t>
            </w:r>
          </w:p>
        </w:tc>
      </w:tr>
      <w:tr w:rsidR="00E4483A" w:rsidRPr="00F53530" w14:paraId="045A3ACC" w14:textId="77777777" w:rsidTr="00A27298">
        <w:trPr>
          <w:trHeight w:val="855"/>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AC9"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Igual o superior (UVT)</w:t>
            </w:r>
          </w:p>
        </w:tc>
        <w:tc>
          <w:tcPr>
            <w:tcW w:w="1200" w:type="dxa"/>
            <w:tcBorders>
              <w:top w:val="nil"/>
              <w:left w:val="nil"/>
              <w:bottom w:val="single" w:sz="4" w:space="0" w:color="auto"/>
              <w:right w:val="single" w:sz="4" w:space="0" w:color="auto"/>
            </w:tcBorders>
            <w:shd w:val="clear" w:color="auto" w:fill="auto"/>
            <w:vAlign w:val="center"/>
            <w:hideMark/>
          </w:tcPr>
          <w:p w14:paraId="045A3ACA"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Inferior (UVT)</w:t>
            </w: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045A3ACB"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p>
        </w:tc>
      </w:tr>
      <w:tr w:rsidR="00E4483A" w:rsidRPr="00F53530" w14:paraId="045A3AD0" w14:textId="77777777" w:rsidTr="00A27298">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ACD" w14:textId="77777777" w:rsidR="00E4483A" w:rsidRPr="00F53530" w:rsidRDefault="00E4483A" w:rsidP="00C44821">
            <w:pPr>
              <w:spacing w:after="0" w:line="240" w:lineRule="auto"/>
              <w:jc w:val="center"/>
              <w:rPr>
                <w:rFonts w:ascii="Times New Roman" w:eastAsia="Times New Roman" w:hAnsi="Times New Roman"/>
                <w:i/>
                <w:color w:val="000000"/>
                <w:u w:val="single"/>
                <w:lang w:eastAsia="es-CO"/>
              </w:rPr>
            </w:pPr>
            <w:r w:rsidRPr="00F53530">
              <w:rPr>
                <w:rFonts w:ascii="Times New Roman" w:eastAsia="Times New Roman" w:hAnsi="Times New Roman"/>
                <w:i/>
                <w:color w:val="000000"/>
                <w:u w:val="single"/>
                <w:lang w:eastAsia="es-CO"/>
              </w:rPr>
              <w:t>0</w:t>
            </w:r>
          </w:p>
        </w:tc>
        <w:tc>
          <w:tcPr>
            <w:tcW w:w="1200" w:type="dxa"/>
            <w:tcBorders>
              <w:top w:val="nil"/>
              <w:left w:val="nil"/>
              <w:bottom w:val="single" w:sz="4" w:space="0" w:color="auto"/>
              <w:right w:val="single" w:sz="4" w:space="0" w:color="auto"/>
            </w:tcBorders>
            <w:shd w:val="clear" w:color="auto" w:fill="auto"/>
            <w:vAlign w:val="center"/>
            <w:hideMark/>
          </w:tcPr>
          <w:p w14:paraId="045A3ACE"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1.000</w:t>
            </w:r>
          </w:p>
        </w:tc>
        <w:tc>
          <w:tcPr>
            <w:tcW w:w="1500" w:type="dxa"/>
            <w:tcBorders>
              <w:top w:val="nil"/>
              <w:left w:val="nil"/>
              <w:bottom w:val="single" w:sz="4" w:space="0" w:color="auto"/>
              <w:right w:val="single" w:sz="4" w:space="0" w:color="auto"/>
            </w:tcBorders>
            <w:shd w:val="clear" w:color="auto" w:fill="auto"/>
            <w:vAlign w:val="center"/>
            <w:hideMark/>
          </w:tcPr>
          <w:p w14:paraId="045A3ACF"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1.8%</w:t>
            </w:r>
          </w:p>
        </w:tc>
      </w:tr>
      <w:tr w:rsidR="00E4483A" w:rsidRPr="00F53530" w14:paraId="045A3AD4" w14:textId="77777777" w:rsidTr="00A27298">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AD1"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1.000</w:t>
            </w:r>
          </w:p>
        </w:tc>
        <w:tc>
          <w:tcPr>
            <w:tcW w:w="1200" w:type="dxa"/>
            <w:tcBorders>
              <w:top w:val="nil"/>
              <w:left w:val="nil"/>
              <w:bottom w:val="single" w:sz="4" w:space="0" w:color="auto"/>
              <w:right w:val="single" w:sz="4" w:space="0" w:color="auto"/>
            </w:tcBorders>
            <w:shd w:val="clear" w:color="auto" w:fill="auto"/>
            <w:vAlign w:val="center"/>
            <w:hideMark/>
          </w:tcPr>
          <w:p w14:paraId="045A3AD2"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2.500</w:t>
            </w:r>
          </w:p>
        </w:tc>
        <w:tc>
          <w:tcPr>
            <w:tcW w:w="1500" w:type="dxa"/>
            <w:tcBorders>
              <w:top w:val="nil"/>
              <w:left w:val="nil"/>
              <w:bottom w:val="single" w:sz="4" w:space="0" w:color="auto"/>
              <w:right w:val="single" w:sz="4" w:space="0" w:color="auto"/>
            </w:tcBorders>
            <w:shd w:val="clear" w:color="auto" w:fill="auto"/>
            <w:vAlign w:val="center"/>
            <w:hideMark/>
          </w:tcPr>
          <w:p w14:paraId="045A3AD3"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2.2%</w:t>
            </w:r>
          </w:p>
        </w:tc>
      </w:tr>
      <w:tr w:rsidR="00E4483A" w:rsidRPr="00F53530" w14:paraId="045A3AD8" w14:textId="77777777" w:rsidTr="00A27298">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AD5"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2.500</w:t>
            </w:r>
          </w:p>
        </w:tc>
        <w:tc>
          <w:tcPr>
            <w:tcW w:w="1200" w:type="dxa"/>
            <w:tcBorders>
              <w:top w:val="nil"/>
              <w:left w:val="nil"/>
              <w:bottom w:val="single" w:sz="4" w:space="0" w:color="auto"/>
              <w:right w:val="single" w:sz="4" w:space="0" w:color="auto"/>
            </w:tcBorders>
            <w:shd w:val="clear" w:color="auto" w:fill="auto"/>
            <w:vAlign w:val="center"/>
            <w:hideMark/>
          </w:tcPr>
          <w:p w14:paraId="045A3AD6"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5.000</w:t>
            </w:r>
          </w:p>
        </w:tc>
        <w:tc>
          <w:tcPr>
            <w:tcW w:w="1500" w:type="dxa"/>
            <w:tcBorders>
              <w:top w:val="nil"/>
              <w:left w:val="nil"/>
              <w:bottom w:val="single" w:sz="4" w:space="0" w:color="auto"/>
              <w:right w:val="single" w:sz="4" w:space="0" w:color="auto"/>
            </w:tcBorders>
            <w:shd w:val="clear" w:color="auto" w:fill="auto"/>
            <w:vAlign w:val="center"/>
            <w:hideMark/>
          </w:tcPr>
          <w:p w14:paraId="045A3AD7"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3.9%</w:t>
            </w:r>
          </w:p>
        </w:tc>
      </w:tr>
      <w:tr w:rsidR="00E4483A" w:rsidRPr="00F53530" w14:paraId="045A3ADC" w14:textId="77777777" w:rsidTr="00A27298">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AD9"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5.000</w:t>
            </w:r>
          </w:p>
        </w:tc>
        <w:tc>
          <w:tcPr>
            <w:tcW w:w="1200" w:type="dxa"/>
            <w:tcBorders>
              <w:top w:val="nil"/>
              <w:left w:val="nil"/>
              <w:bottom w:val="single" w:sz="4" w:space="0" w:color="auto"/>
              <w:right w:val="single" w:sz="4" w:space="0" w:color="auto"/>
            </w:tcBorders>
            <w:shd w:val="clear" w:color="auto" w:fill="auto"/>
            <w:vAlign w:val="center"/>
            <w:hideMark/>
          </w:tcPr>
          <w:p w14:paraId="045A3ADA"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13.334</w:t>
            </w:r>
          </w:p>
        </w:tc>
        <w:tc>
          <w:tcPr>
            <w:tcW w:w="1500" w:type="dxa"/>
            <w:tcBorders>
              <w:top w:val="nil"/>
              <w:left w:val="nil"/>
              <w:bottom w:val="single" w:sz="4" w:space="0" w:color="auto"/>
              <w:right w:val="single" w:sz="4" w:space="0" w:color="auto"/>
            </w:tcBorders>
            <w:shd w:val="clear" w:color="auto" w:fill="auto"/>
            <w:vAlign w:val="center"/>
            <w:hideMark/>
          </w:tcPr>
          <w:p w14:paraId="045A3ADB"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5.4%</w:t>
            </w:r>
          </w:p>
        </w:tc>
      </w:tr>
    </w:tbl>
    <w:p w14:paraId="045A3AD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Servicios profesionales, de consultoría y científicos en los que predomine el factor intelectual sobre el material, incluidos los servicios de profesiones liberales:</w:t>
      </w:r>
    </w:p>
    <w:tbl>
      <w:tblPr>
        <w:tblW w:w="5100" w:type="dxa"/>
        <w:jc w:val="center"/>
        <w:tblCellMar>
          <w:left w:w="70" w:type="dxa"/>
          <w:right w:w="70" w:type="dxa"/>
        </w:tblCellMar>
        <w:tblLook w:val="04A0" w:firstRow="1" w:lastRow="0" w:firstColumn="1" w:lastColumn="0" w:noHBand="0" w:noVBand="1"/>
      </w:tblPr>
      <w:tblGrid>
        <w:gridCol w:w="2400"/>
        <w:gridCol w:w="1200"/>
        <w:gridCol w:w="1500"/>
      </w:tblGrid>
      <w:tr w:rsidR="00E4483A" w:rsidRPr="00F53530" w14:paraId="045A3AE0" w14:textId="77777777" w:rsidTr="00A27298">
        <w:trPr>
          <w:trHeight w:val="300"/>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5A3ADE"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r w:rsidRPr="00777AFA">
              <w:rPr>
                <w:rFonts w:ascii="Times New Roman" w:eastAsia="Times New Roman" w:hAnsi="Times New Roman"/>
                <w:b/>
                <w:bCs/>
                <w:i/>
                <w:color w:val="000000"/>
                <w:u w:val="single"/>
                <w:lang w:eastAsia="es-CO"/>
              </w:rPr>
              <w:t>Ingresos brutos</w:t>
            </w:r>
            <w:r w:rsidRPr="00F53530">
              <w:rPr>
                <w:rFonts w:ascii="Times New Roman" w:eastAsia="Times New Roman" w:hAnsi="Times New Roman"/>
                <w:b/>
                <w:bCs/>
                <w:i/>
                <w:color w:val="000000"/>
                <w:lang w:eastAsia="es-CO"/>
              </w:rPr>
              <w:t xml:space="preserve"> bimestrales</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A3ADF"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Tarifa SIMPLE consolidada (bimestral)</w:t>
            </w:r>
          </w:p>
        </w:tc>
      </w:tr>
      <w:tr w:rsidR="00E4483A" w:rsidRPr="00F53530" w14:paraId="045A3AE4" w14:textId="77777777" w:rsidTr="00A27298">
        <w:trPr>
          <w:trHeight w:val="855"/>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AE1"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Igual o superior (UVT)</w:t>
            </w:r>
          </w:p>
        </w:tc>
        <w:tc>
          <w:tcPr>
            <w:tcW w:w="1200" w:type="dxa"/>
            <w:tcBorders>
              <w:top w:val="nil"/>
              <w:left w:val="nil"/>
              <w:bottom w:val="single" w:sz="4" w:space="0" w:color="auto"/>
              <w:right w:val="single" w:sz="4" w:space="0" w:color="auto"/>
            </w:tcBorders>
            <w:shd w:val="clear" w:color="auto" w:fill="auto"/>
            <w:vAlign w:val="center"/>
            <w:hideMark/>
          </w:tcPr>
          <w:p w14:paraId="045A3AE2"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Inferior (UVT)</w:t>
            </w: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045A3AE3"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p>
        </w:tc>
      </w:tr>
      <w:tr w:rsidR="00B030F0" w:rsidRPr="00F53530" w14:paraId="045A3AE8" w14:textId="77777777" w:rsidTr="004C1C16">
        <w:trPr>
          <w:trHeight w:val="300"/>
          <w:jc w:val="center"/>
        </w:trPr>
        <w:tc>
          <w:tcPr>
            <w:tcW w:w="2400" w:type="dxa"/>
            <w:tcBorders>
              <w:top w:val="nil"/>
              <w:left w:val="single" w:sz="4" w:space="0" w:color="auto"/>
              <w:bottom w:val="single" w:sz="4" w:space="0" w:color="auto"/>
              <w:right w:val="single" w:sz="4" w:space="0" w:color="auto"/>
            </w:tcBorders>
            <w:shd w:val="clear" w:color="auto" w:fill="auto"/>
            <w:hideMark/>
          </w:tcPr>
          <w:p w14:paraId="045A3AE5" w14:textId="77777777" w:rsidR="00B030F0" w:rsidRPr="00B030F0" w:rsidRDefault="00B030F0" w:rsidP="00C44821">
            <w:pPr>
              <w:widowControl w:val="0"/>
              <w:autoSpaceDE w:val="0"/>
              <w:autoSpaceDN w:val="0"/>
              <w:adjustRightInd w:val="0"/>
              <w:spacing w:after="0" w:line="240" w:lineRule="auto"/>
              <w:jc w:val="center"/>
              <w:rPr>
                <w:rFonts w:ascii="Times New Roman" w:hAnsi="Times New Roman"/>
                <w:i/>
                <w:u w:val="single"/>
                <w:lang w:val="es-ES"/>
              </w:rPr>
            </w:pPr>
            <w:r w:rsidRPr="00B030F0">
              <w:rPr>
                <w:rFonts w:ascii="Times New Roman" w:hAnsi="Times New Roman"/>
                <w:i/>
                <w:u w:val="single"/>
                <w:lang w:val="es-ES"/>
              </w:rPr>
              <w:t>0</w:t>
            </w:r>
          </w:p>
        </w:tc>
        <w:tc>
          <w:tcPr>
            <w:tcW w:w="1200" w:type="dxa"/>
            <w:tcBorders>
              <w:top w:val="nil"/>
              <w:left w:val="nil"/>
              <w:bottom w:val="single" w:sz="4" w:space="0" w:color="auto"/>
              <w:right w:val="single" w:sz="4" w:space="0" w:color="auto"/>
            </w:tcBorders>
            <w:shd w:val="clear" w:color="auto" w:fill="auto"/>
            <w:hideMark/>
          </w:tcPr>
          <w:p w14:paraId="045A3AE6" w14:textId="77777777" w:rsidR="00B030F0" w:rsidRPr="00B030F0" w:rsidRDefault="00B030F0" w:rsidP="00C44821">
            <w:pPr>
              <w:widowControl w:val="0"/>
              <w:autoSpaceDE w:val="0"/>
              <w:autoSpaceDN w:val="0"/>
              <w:adjustRightInd w:val="0"/>
              <w:spacing w:after="0" w:line="240" w:lineRule="auto"/>
              <w:jc w:val="center"/>
              <w:rPr>
                <w:rFonts w:ascii="Times New Roman" w:hAnsi="Times New Roman"/>
                <w:i/>
                <w:lang w:val="es-ES"/>
              </w:rPr>
            </w:pPr>
            <w:r w:rsidRPr="00B030F0">
              <w:rPr>
                <w:rFonts w:ascii="Times New Roman" w:hAnsi="Times New Roman"/>
                <w:i/>
                <w:lang w:val="es-ES"/>
              </w:rPr>
              <w:t>1.000</w:t>
            </w:r>
          </w:p>
        </w:tc>
        <w:tc>
          <w:tcPr>
            <w:tcW w:w="1500" w:type="dxa"/>
            <w:tcBorders>
              <w:top w:val="nil"/>
              <w:left w:val="nil"/>
              <w:bottom w:val="single" w:sz="4" w:space="0" w:color="auto"/>
              <w:right w:val="single" w:sz="4" w:space="0" w:color="auto"/>
            </w:tcBorders>
            <w:shd w:val="clear" w:color="auto" w:fill="auto"/>
            <w:hideMark/>
          </w:tcPr>
          <w:p w14:paraId="045A3AE7" w14:textId="77777777" w:rsidR="00B030F0" w:rsidRPr="00B030F0" w:rsidRDefault="00B030F0" w:rsidP="00C44821">
            <w:pPr>
              <w:widowControl w:val="0"/>
              <w:autoSpaceDE w:val="0"/>
              <w:autoSpaceDN w:val="0"/>
              <w:adjustRightInd w:val="0"/>
              <w:spacing w:after="0" w:line="240" w:lineRule="auto"/>
              <w:jc w:val="center"/>
              <w:rPr>
                <w:rFonts w:ascii="Times New Roman" w:hAnsi="Times New Roman"/>
                <w:i/>
                <w:lang w:val="es-ES"/>
              </w:rPr>
            </w:pPr>
            <w:r w:rsidRPr="00B030F0">
              <w:rPr>
                <w:rFonts w:ascii="Times New Roman" w:hAnsi="Times New Roman"/>
                <w:i/>
                <w:lang w:val="es-ES"/>
              </w:rPr>
              <w:t>5.9%</w:t>
            </w:r>
          </w:p>
        </w:tc>
      </w:tr>
      <w:tr w:rsidR="00B030F0" w:rsidRPr="00F53530" w14:paraId="045A3AEC" w14:textId="77777777" w:rsidTr="004C1C16">
        <w:trPr>
          <w:trHeight w:val="300"/>
          <w:jc w:val="center"/>
        </w:trPr>
        <w:tc>
          <w:tcPr>
            <w:tcW w:w="2400" w:type="dxa"/>
            <w:tcBorders>
              <w:top w:val="nil"/>
              <w:left w:val="single" w:sz="4" w:space="0" w:color="auto"/>
              <w:bottom w:val="single" w:sz="4" w:space="0" w:color="auto"/>
              <w:right w:val="single" w:sz="4" w:space="0" w:color="auto"/>
            </w:tcBorders>
            <w:shd w:val="clear" w:color="auto" w:fill="auto"/>
            <w:hideMark/>
          </w:tcPr>
          <w:p w14:paraId="045A3AE9" w14:textId="77777777" w:rsidR="00B030F0" w:rsidRPr="00B030F0" w:rsidRDefault="00B030F0" w:rsidP="00C44821">
            <w:pPr>
              <w:widowControl w:val="0"/>
              <w:autoSpaceDE w:val="0"/>
              <w:autoSpaceDN w:val="0"/>
              <w:adjustRightInd w:val="0"/>
              <w:spacing w:after="0" w:line="240" w:lineRule="auto"/>
              <w:jc w:val="center"/>
              <w:rPr>
                <w:rFonts w:ascii="Times New Roman" w:hAnsi="Times New Roman"/>
                <w:i/>
                <w:lang w:val="es-ES"/>
              </w:rPr>
            </w:pPr>
            <w:r w:rsidRPr="00B030F0">
              <w:rPr>
                <w:rFonts w:ascii="Times New Roman" w:hAnsi="Times New Roman"/>
                <w:i/>
                <w:lang w:val="es-ES"/>
              </w:rPr>
              <w:t>1.000</w:t>
            </w:r>
          </w:p>
        </w:tc>
        <w:tc>
          <w:tcPr>
            <w:tcW w:w="1200" w:type="dxa"/>
            <w:tcBorders>
              <w:top w:val="nil"/>
              <w:left w:val="nil"/>
              <w:bottom w:val="single" w:sz="4" w:space="0" w:color="auto"/>
              <w:right w:val="single" w:sz="4" w:space="0" w:color="auto"/>
            </w:tcBorders>
            <w:shd w:val="clear" w:color="auto" w:fill="auto"/>
            <w:hideMark/>
          </w:tcPr>
          <w:p w14:paraId="045A3AEA" w14:textId="77777777" w:rsidR="00B030F0" w:rsidRPr="00B030F0" w:rsidRDefault="00B030F0" w:rsidP="00C44821">
            <w:pPr>
              <w:widowControl w:val="0"/>
              <w:autoSpaceDE w:val="0"/>
              <w:autoSpaceDN w:val="0"/>
              <w:adjustRightInd w:val="0"/>
              <w:spacing w:after="0" w:line="240" w:lineRule="auto"/>
              <w:jc w:val="center"/>
              <w:rPr>
                <w:rFonts w:ascii="Times New Roman" w:hAnsi="Times New Roman"/>
                <w:i/>
                <w:lang w:val="es-ES"/>
              </w:rPr>
            </w:pPr>
            <w:r w:rsidRPr="00B030F0">
              <w:rPr>
                <w:rFonts w:ascii="Times New Roman" w:hAnsi="Times New Roman"/>
                <w:i/>
                <w:lang w:val="es-ES"/>
              </w:rPr>
              <w:t>2.500</w:t>
            </w:r>
          </w:p>
        </w:tc>
        <w:tc>
          <w:tcPr>
            <w:tcW w:w="1500" w:type="dxa"/>
            <w:tcBorders>
              <w:top w:val="nil"/>
              <w:left w:val="nil"/>
              <w:bottom w:val="single" w:sz="4" w:space="0" w:color="auto"/>
              <w:right w:val="single" w:sz="4" w:space="0" w:color="auto"/>
            </w:tcBorders>
            <w:shd w:val="clear" w:color="auto" w:fill="auto"/>
            <w:hideMark/>
          </w:tcPr>
          <w:p w14:paraId="045A3AEB" w14:textId="77777777" w:rsidR="00B030F0" w:rsidRPr="00B030F0" w:rsidRDefault="00B030F0" w:rsidP="00C44821">
            <w:pPr>
              <w:widowControl w:val="0"/>
              <w:autoSpaceDE w:val="0"/>
              <w:autoSpaceDN w:val="0"/>
              <w:adjustRightInd w:val="0"/>
              <w:spacing w:after="0" w:line="240" w:lineRule="auto"/>
              <w:jc w:val="center"/>
              <w:rPr>
                <w:rFonts w:ascii="Times New Roman" w:hAnsi="Times New Roman"/>
                <w:i/>
                <w:lang w:val="es-ES"/>
              </w:rPr>
            </w:pPr>
            <w:r w:rsidRPr="00B030F0">
              <w:rPr>
                <w:rFonts w:ascii="Times New Roman" w:hAnsi="Times New Roman"/>
                <w:i/>
                <w:lang w:val="es-ES"/>
              </w:rPr>
              <w:t>7.3%</w:t>
            </w:r>
          </w:p>
        </w:tc>
      </w:tr>
      <w:tr w:rsidR="00B030F0" w:rsidRPr="00F53530" w14:paraId="045A3AF0" w14:textId="77777777" w:rsidTr="004C1C16">
        <w:trPr>
          <w:trHeight w:val="300"/>
          <w:jc w:val="center"/>
        </w:trPr>
        <w:tc>
          <w:tcPr>
            <w:tcW w:w="2400" w:type="dxa"/>
            <w:tcBorders>
              <w:top w:val="nil"/>
              <w:left w:val="single" w:sz="4" w:space="0" w:color="auto"/>
              <w:bottom w:val="single" w:sz="4" w:space="0" w:color="auto"/>
              <w:right w:val="single" w:sz="4" w:space="0" w:color="auto"/>
            </w:tcBorders>
            <w:shd w:val="clear" w:color="auto" w:fill="auto"/>
            <w:hideMark/>
          </w:tcPr>
          <w:p w14:paraId="045A3AED" w14:textId="77777777" w:rsidR="00B030F0" w:rsidRPr="00B030F0" w:rsidRDefault="00B030F0" w:rsidP="00C44821">
            <w:pPr>
              <w:widowControl w:val="0"/>
              <w:autoSpaceDE w:val="0"/>
              <w:autoSpaceDN w:val="0"/>
              <w:adjustRightInd w:val="0"/>
              <w:spacing w:after="0" w:line="240" w:lineRule="auto"/>
              <w:jc w:val="center"/>
              <w:rPr>
                <w:rFonts w:ascii="Times New Roman" w:hAnsi="Times New Roman"/>
                <w:i/>
                <w:lang w:val="es-ES"/>
              </w:rPr>
            </w:pPr>
            <w:r w:rsidRPr="00B030F0">
              <w:rPr>
                <w:rFonts w:ascii="Times New Roman" w:hAnsi="Times New Roman"/>
                <w:i/>
                <w:lang w:val="es-ES"/>
              </w:rPr>
              <w:t>2.500</w:t>
            </w:r>
          </w:p>
        </w:tc>
        <w:tc>
          <w:tcPr>
            <w:tcW w:w="1200" w:type="dxa"/>
            <w:tcBorders>
              <w:top w:val="nil"/>
              <w:left w:val="nil"/>
              <w:bottom w:val="single" w:sz="4" w:space="0" w:color="auto"/>
              <w:right w:val="single" w:sz="4" w:space="0" w:color="auto"/>
            </w:tcBorders>
            <w:shd w:val="clear" w:color="auto" w:fill="auto"/>
            <w:hideMark/>
          </w:tcPr>
          <w:p w14:paraId="045A3AEE" w14:textId="77777777" w:rsidR="00B030F0" w:rsidRPr="00B030F0" w:rsidRDefault="00B030F0" w:rsidP="00C44821">
            <w:pPr>
              <w:widowControl w:val="0"/>
              <w:autoSpaceDE w:val="0"/>
              <w:autoSpaceDN w:val="0"/>
              <w:adjustRightInd w:val="0"/>
              <w:spacing w:after="0" w:line="240" w:lineRule="auto"/>
              <w:jc w:val="center"/>
              <w:rPr>
                <w:rFonts w:ascii="Times New Roman" w:hAnsi="Times New Roman"/>
                <w:i/>
                <w:lang w:val="es-ES"/>
              </w:rPr>
            </w:pPr>
            <w:r w:rsidRPr="00B030F0">
              <w:rPr>
                <w:rFonts w:ascii="Times New Roman" w:hAnsi="Times New Roman"/>
                <w:i/>
                <w:lang w:val="es-ES"/>
              </w:rPr>
              <w:t>5.000</w:t>
            </w:r>
          </w:p>
        </w:tc>
        <w:tc>
          <w:tcPr>
            <w:tcW w:w="1500" w:type="dxa"/>
            <w:tcBorders>
              <w:top w:val="nil"/>
              <w:left w:val="nil"/>
              <w:bottom w:val="single" w:sz="4" w:space="0" w:color="auto"/>
              <w:right w:val="single" w:sz="4" w:space="0" w:color="auto"/>
            </w:tcBorders>
            <w:shd w:val="clear" w:color="auto" w:fill="auto"/>
            <w:hideMark/>
          </w:tcPr>
          <w:p w14:paraId="045A3AEF" w14:textId="77777777" w:rsidR="00B030F0" w:rsidRPr="00B030F0" w:rsidRDefault="00B030F0" w:rsidP="00C44821">
            <w:pPr>
              <w:widowControl w:val="0"/>
              <w:autoSpaceDE w:val="0"/>
              <w:autoSpaceDN w:val="0"/>
              <w:adjustRightInd w:val="0"/>
              <w:spacing w:after="0" w:line="240" w:lineRule="auto"/>
              <w:jc w:val="center"/>
              <w:rPr>
                <w:rFonts w:ascii="Times New Roman" w:hAnsi="Times New Roman"/>
                <w:i/>
                <w:lang w:val="es-ES"/>
              </w:rPr>
            </w:pPr>
            <w:r w:rsidRPr="00B030F0">
              <w:rPr>
                <w:rFonts w:ascii="Times New Roman" w:hAnsi="Times New Roman"/>
                <w:i/>
                <w:lang w:val="es-ES"/>
              </w:rPr>
              <w:t>12%</w:t>
            </w:r>
          </w:p>
        </w:tc>
      </w:tr>
      <w:tr w:rsidR="00B030F0" w:rsidRPr="00F53530" w14:paraId="045A3AF4" w14:textId="77777777" w:rsidTr="004C1C16">
        <w:trPr>
          <w:trHeight w:val="300"/>
          <w:jc w:val="center"/>
        </w:trPr>
        <w:tc>
          <w:tcPr>
            <w:tcW w:w="2400" w:type="dxa"/>
            <w:tcBorders>
              <w:top w:val="nil"/>
              <w:left w:val="single" w:sz="4" w:space="0" w:color="auto"/>
              <w:bottom w:val="single" w:sz="4" w:space="0" w:color="auto"/>
              <w:right w:val="single" w:sz="4" w:space="0" w:color="auto"/>
            </w:tcBorders>
            <w:shd w:val="clear" w:color="auto" w:fill="auto"/>
            <w:hideMark/>
          </w:tcPr>
          <w:p w14:paraId="045A3AF1" w14:textId="77777777" w:rsidR="00B030F0" w:rsidRPr="00B030F0" w:rsidRDefault="00B030F0" w:rsidP="00C44821">
            <w:pPr>
              <w:widowControl w:val="0"/>
              <w:autoSpaceDE w:val="0"/>
              <w:autoSpaceDN w:val="0"/>
              <w:adjustRightInd w:val="0"/>
              <w:spacing w:after="0" w:line="240" w:lineRule="auto"/>
              <w:jc w:val="center"/>
              <w:rPr>
                <w:rFonts w:ascii="Times New Roman" w:hAnsi="Times New Roman"/>
                <w:i/>
                <w:lang w:val="es-ES"/>
              </w:rPr>
            </w:pPr>
            <w:r w:rsidRPr="00B030F0">
              <w:rPr>
                <w:rFonts w:ascii="Times New Roman" w:hAnsi="Times New Roman"/>
                <w:i/>
                <w:lang w:val="es-ES"/>
              </w:rPr>
              <w:t>5.000</w:t>
            </w:r>
          </w:p>
        </w:tc>
        <w:tc>
          <w:tcPr>
            <w:tcW w:w="1200" w:type="dxa"/>
            <w:tcBorders>
              <w:top w:val="nil"/>
              <w:left w:val="nil"/>
              <w:bottom w:val="single" w:sz="4" w:space="0" w:color="auto"/>
              <w:right w:val="single" w:sz="4" w:space="0" w:color="auto"/>
            </w:tcBorders>
            <w:shd w:val="clear" w:color="auto" w:fill="auto"/>
            <w:hideMark/>
          </w:tcPr>
          <w:p w14:paraId="045A3AF2" w14:textId="77777777" w:rsidR="00B030F0" w:rsidRPr="00B030F0" w:rsidRDefault="00B030F0" w:rsidP="00C44821">
            <w:pPr>
              <w:widowControl w:val="0"/>
              <w:autoSpaceDE w:val="0"/>
              <w:autoSpaceDN w:val="0"/>
              <w:adjustRightInd w:val="0"/>
              <w:spacing w:after="0" w:line="240" w:lineRule="auto"/>
              <w:jc w:val="center"/>
              <w:rPr>
                <w:rFonts w:ascii="Times New Roman" w:hAnsi="Times New Roman"/>
                <w:i/>
                <w:lang w:val="es-ES"/>
              </w:rPr>
            </w:pPr>
            <w:r w:rsidRPr="00B030F0">
              <w:rPr>
                <w:rFonts w:ascii="Times New Roman" w:hAnsi="Times New Roman"/>
                <w:i/>
                <w:lang w:val="es-ES"/>
              </w:rPr>
              <w:t>13.334</w:t>
            </w:r>
          </w:p>
        </w:tc>
        <w:tc>
          <w:tcPr>
            <w:tcW w:w="1500" w:type="dxa"/>
            <w:tcBorders>
              <w:top w:val="nil"/>
              <w:left w:val="nil"/>
              <w:bottom w:val="single" w:sz="4" w:space="0" w:color="auto"/>
              <w:right w:val="single" w:sz="4" w:space="0" w:color="auto"/>
            </w:tcBorders>
            <w:shd w:val="clear" w:color="auto" w:fill="auto"/>
            <w:hideMark/>
          </w:tcPr>
          <w:p w14:paraId="045A3AF3" w14:textId="77777777" w:rsidR="00B030F0" w:rsidRPr="00B030F0" w:rsidRDefault="00B030F0" w:rsidP="00C44821">
            <w:pPr>
              <w:widowControl w:val="0"/>
              <w:autoSpaceDE w:val="0"/>
              <w:autoSpaceDN w:val="0"/>
              <w:adjustRightInd w:val="0"/>
              <w:spacing w:after="0" w:line="240" w:lineRule="auto"/>
              <w:jc w:val="center"/>
              <w:rPr>
                <w:rFonts w:ascii="Times New Roman" w:hAnsi="Times New Roman"/>
                <w:i/>
                <w:lang w:val="es-ES"/>
              </w:rPr>
            </w:pPr>
            <w:r w:rsidRPr="00B030F0">
              <w:rPr>
                <w:rFonts w:ascii="Times New Roman" w:hAnsi="Times New Roman"/>
                <w:i/>
                <w:lang w:val="es-ES"/>
              </w:rPr>
              <w:t>14.5%</w:t>
            </w:r>
          </w:p>
        </w:tc>
      </w:tr>
    </w:tbl>
    <w:p w14:paraId="045A3AF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4. Actividades de expendio de comidas y bebidas, y actividades de transporte:</w:t>
      </w:r>
    </w:p>
    <w:tbl>
      <w:tblPr>
        <w:tblW w:w="5100" w:type="dxa"/>
        <w:jc w:val="center"/>
        <w:tblCellMar>
          <w:left w:w="70" w:type="dxa"/>
          <w:right w:w="70" w:type="dxa"/>
        </w:tblCellMar>
        <w:tblLook w:val="04A0" w:firstRow="1" w:lastRow="0" w:firstColumn="1" w:lastColumn="0" w:noHBand="0" w:noVBand="1"/>
      </w:tblPr>
      <w:tblGrid>
        <w:gridCol w:w="1814"/>
        <w:gridCol w:w="1068"/>
        <w:gridCol w:w="2218"/>
      </w:tblGrid>
      <w:tr w:rsidR="00E4483A" w:rsidRPr="00F53530" w14:paraId="045A3AF8" w14:textId="77777777" w:rsidTr="001832C9">
        <w:trPr>
          <w:trHeight w:val="300"/>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5A3AF6"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r w:rsidRPr="00777AFA">
              <w:rPr>
                <w:rFonts w:ascii="Times New Roman" w:eastAsia="Times New Roman" w:hAnsi="Times New Roman"/>
                <w:b/>
                <w:bCs/>
                <w:i/>
                <w:color w:val="000000"/>
                <w:u w:val="single"/>
                <w:lang w:eastAsia="es-CO"/>
              </w:rPr>
              <w:t>Ingresos brutos</w:t>
            </w:r>
            <w:r w:rsidRPr="00F53530">
              <w:rPr>
                <w:rFonts w:ascii="Times New Roman" w:eastAsia="Times New Roman" w:hAnsi="Times New Roman"/>
                <w:b/>
                <w:bCs/>
                <w:i/>
                <w:color w:val="000000"/>
                <w:lang w:eastAsia="es-CO"/>
              </w:rPr>
              <w:t xml:space="preserve"> bimestrales</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A3AF7"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Tarifa SIMPLE consolidada(bimestral)</w:t>
            </w:r>
          </w:p>
        </w:tc>
      </w:tr>
      <w:tr w:rsidR="00E4483A" w:rsidRPr="00F53530" w14:paraId="045A3AFC" w14:textId="77777777" w:rsidTr="001832C9">
        <w:trPr>
          <w:trHeight w:val="855"/>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AF9"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Igual o superior (UVT)</w:t>
            </w:r>
          </w:p>
        </w:tc>
        <w:tc>
          <w:tcPr>
            <w:tcW w:w="1200" w:type="dxa"/>
            <w:tcBorders>
              <w:top w:val="nil"/>
              <w:left w:val="nil"/>
              <w:bottom w:val="single" w:sz="4" w:space="0" w:color="auto"/>
              <w:right w:val="single" w:sz="4" w:space="0" w:color="auto"/>
            </w:tcBorders>
            <w:shd w:val="clear" w:color="auto" w:fill="auto"/>
            <w:vAlign w:val="center"/>
            <w:hideMark/>
          </w:tcPr>
          <w:p w14:paraId="045A3AFA"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Inferior (UVT)</w:t>
            </w: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045A3AFB" w14:textId="77777777" w:rsidR="00E4483A" w:rsidRPr="00F53530" w:rsidRDefault="00E4483A" w:rsidP="00C44821">
            <w:pPr>
              <w:spacing w:after="0" w:line="240" w:lineRule="auto"/>
              <w:jc w:val="center"/>
              <w:rPr>
                <w:rFonts w:ascii="Times New Roman" w:eastAsia="Times New Roman" w:hAnsi="Times New Roman"/>
                <w:b/>
                <w:bCs/>
                <w:i/>
                <w:color w:val="000000"/>
                <w:lang w:eastAsia="es-CO"/>
              </w:rPr>
            </w:pPr>
          </w:p>
        </w:tc>
      </w:tr>
      <w:tr w:rsidR="00E4483A" w:rsidRPr="00F53530" w14:paraId="045A3B00" w14:textId="77777777" w:rsidTr="001832C9">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AFD" w14:textId="77777777" w:rsidR="00E4483A" w:rsidRPr="00F53530" w:rsidRDefault="00E4483A" w:rsidP="00C44821">
            <w:pPr>
              <w:spacing w:after="0" w:line="240" w:lineRule="auto"/>
              <w:jc w:val="center"/>
              <w:rPr>
                <w:rFonts w:ascii="Times New Roman" w:eastAsia="Times New Roman" w:hAnsi="Times New Roman"/>
                <w:i/>
                <w:color w:val="000000"/>
                <w:u w:val="single"/>
                <w:lang w:eastAsia="es-CO"/>
              </w:rPr>
            </w:pPr>
            <w:r w:rsidRPr="00F53530">
              <w:rPr>
                <w:rFonts w:ascii="Times New Roman" w:eastAsia="Times New Roman" w:hAnsi="Times New Roman"/>
                <w:i/>
                <w:color w:val="000000"/>
                <w:u w:val="single"/>
                <w:lang w:eastAsia="es-CO"/>
              </w:rPr>
              <w:t>0</w:t>
            </w:r>
          </w:p>
        </w:tc>
        <w:tc>
          <w:tcPr>
            <w:tcW w:w="1200" w:type="dxa"/>
            <w:tcBorders>
              <w:top w:val="nil"/>
              <w:left w:val="nil"/>
              <w:bottom w:val="single" w:sz="4" w:space="0" w:color="auto"/>
              <w:right w:val="single" w:sz="4" w:space="0" w:color="auto"/>
            </w:tcBorders>
            <w:shd w:val="clear" w:color="auto" w:fill="auto"/>
            <w:vAlign w:val="center"/>
            <w:hideMark/>
          </w:tcPr>
          <w:p w14:paraId="045A3AFE"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1.000</w:t>
            </w:r>
          </w:p>
        </w:tc>
        <w:tc>
          <w:tcPr>
            <w:tcW w:w="1500" w:type="dxa"/>
            <w:tcBorders>
              <w:top w:val="nil"/>
              <w:left w:val="nil"/>
              <w:bottom w:val="single" w:sz="4" w:space="0" w:color="auto"/>
              <w:right w:val="single" w:sz="4" w:space="0" w:color="auto"/>
            </w:tcBorders>
            <w:shd w:val="clear" w:color="auto" w:fill="auto"/>
            <w:vAlign w:val="center"/>
            <w:hideMark/>
          </w:tcPr>
          <w:p w14:paraId="045A3AFF"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3.4%</w:t>
            </w:r>
          </w:p>
        </w:tc>
      </w:tr>
      <w:tr w:rsidR="00E4483A" w:rsidRPr="00F53530" w14:paraId="045A3B04" w14:textId="77777777" w:rsidTr="001832C9">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B01"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1.000</w:t>
            </w:r>
          </w:p>
        </w:tc>
        <w:tc>
          <w:tcPr>
            <w:tcW w:w="1200" w:type="dxa"/>
            <w:tcBorders>
              <w:top w:val="nil"/>
              <w:left w:val="nil"/>
              <w:bottom w:val="single" w:sz="4" w:space="0" w:color="auto"/>
              <w:right w:val="single" w:sz="4" w:space="0" w:color="auto"/>
            </w:tcBorders>
            <w:shd w:val="clear" w:color="auto" w:fill="auto"/>
            <w:vAlign w:val="center"/>
            <w:hideMark/>
          </w:tcPr>
          <w:p w14:paraId="045A3B02"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2.500</w:t>
            </w:r>
          </w:p>
        </w:tc>
        <w:tc>
          <w:tcPr>
            <w:tcW w:w="1500" w:type="dxa"/>
            <w:tcBorders>
              <w:top w:val="nil"/>
              <w:left w:val="nil"/>
              <w:bottom w:val="single" w:sz="4" w:space="0" w:color="auto"/>
              <w:right w:val="single" w:sz="4" w:space="0" w:color="auto"/>
            </w:tcBorders>
            <w:shd w:val="clear" w:color="auto" w:fill="auto"/>
            <w:vAlign w:val="center"/>
            <w:hideMark/>
          </w:tcPr>
          <w:p w14:paraId="045A3B03"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3.8%</w:t>
            </w:r>
          </w:p>
        </w:tc>
      </w:tr>
      <w:tr w:rsidR="00E4483A" w:rsidRPr="00F53530" w14:paraId="045A3B08" w14:textId="77777777" w:rsidTr="001832C9">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B05"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2.500</w:t>
            </w:r>
          </w:p>
        </w:tc>
        <w:tc>
          <w:tcPr>
            <w:tcW w:w="1200" w:type="dxa"/>
            <w:tcBorders>
              <w:top w:val="nil"/>
              <w:left w:val="nil"/>
              <w:bottom w:val="single" w:sz="4" w:space="0" w:color="auto"/>
              <w:right w:val="single" w:sz="4" w:space="0" w:color="auto"/>
            </w:tcBorders>
            <w:shd w:val="clear" w:color="auto" w:fill="auto"/>
            <w:vAlign w:val="center"/>
            <w:hideMark/>
          </w:tcPr>
          <w:p w14:paraId="045A3B06"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5.000</w:t>
            </w:r>
          </w:p>
        </w:tc>
        <w:tc>
          <w:tcPr>
            <w:tcW w:w="1500" w:type="dxa"/>
            <w:tcBorders>
              <w:top w:val="nil"/>
              <w:left w:val="nil"/>
              <w:bottom w:val="single" w:sz="4" w:space="0" w:color="auto"/>
              <w:right w:val="single" w:sz="4" w:space="0" w:color="auto"/>
            </w:tcBorders>
            <w:shd w:val="clear" w:color="auto" w:fill="auto"/>
            <w:vAlign w:val="center"/>
            <w:hideMark/>
          </w:tcPr>
          <w:p w14:paraId="045A3B07"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5.5%</w:t>
            </w:r>
          </w:p>
        </w:tc>
      </w:tr>
      <w:tr w:rsidR="00E4483A" w:rsidRPr="00F53530" w14:paraId="045A3B0C" w14:textId="77777777" w:rsidTr="001832C9">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45A3B09"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lastRenderedPageBreak/>
              <w:t>5.000</w:t>
            </w:r>
          </w:p>
        </w:tc>
        <w:tc>
          <w:tcPr>
            <w:tcW w:w="1200" w:type="dxa"/>
            <w:tcBorders>
              <w:top w:val="nil"/>
              <w:left w:val="nil"/>
              <w:bottom w:val="single" w:sz="4" w:space="0" w:color="auto"/>
              <w:right w:val="single" w:sz="4" w:space="0" w:color="auto"/>
            </w:tcBorders>
            <w:shd w:val="clear" w:color="auto" w:fill="auto"/>
            <w:vAlign w:val="center"/>
            <w:hideMark/>
          </w:tcPr>
          <w:p w14:paraId="045A3B0A"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13.334</w:t>
            </w:r>
          </w:p>
        </w:tc>
        <w:tc>
          <w:tcPr>
            <w:tcW w:w="1500" w:type="dxa"/>
            <w:tcBorders>
              <w:top w:val="nil"/>
              <w:left w:val="nil"/>
              <w:bottom w:val="single" w:sz="4" w:space="0" w:color="auto"/>
              <w:right w:val="single" w:sz="4" w:space="0" w:color="auto"/>
            </w:tcBorders>
            <w:shd w:val="clear" w:color="auto" w:fill="auto"/>
            <w:vAlign w:val="center"/>
            <w:hideMark/>
          </w:tcPr>
          <w:p w14:paraId="045A3B0B" w14:textId="77777777" w:rsidR="00E4483A" w:rsidRPr="00F53530" w:rsidRDefault="00E4483A"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7.0%</w:t>
            </w:r>
          </w:p>
        </w:tc>
      </w:tr>
    </w:tbl>
    <w:p w14:paraId="045A3B0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los recibos electrónicos de pago del anticipo bimestral SIMPLE se adicionará la tarifa correspondiente al impuesto nacional al consumo, a la tarifa del 8% por concepto de impuesto al consumo a la tarifa SIMPLE consolidada. De igual forma, se entiende integrada la tarifa consolidada del impuesto de industria y comercio en la tarifa SIMPLE.</w:t>
      </w:r>
    </w:p>
    <w:p w14:paraId="045A3B0E" w14:textId="77777777" w:rsidR="00040448" w:rsidRPr="00F53530" w:rsidRDefault="00280B8A" w:rsidP="00C44821">
      <w:pPr>
        <w:spacing w:before="240" w:after="240" w:line="240" w:lineRule="auto"/>
        <w:jc w:val="both"/>
        <w:rPr>
          <w:rFonts w:ascii="Times New Roman" w:hAnsi="Times New Roman"/>
          <w:i/>
        </w:rPr>
      </w:pPr>
      <w:r w:rsidRPr="00AA006C">
        <w:rPr>
          <w:rFonts w:ascii="Times New Roman" w:hAnsi="Times New Roman"/>
          <w:b/>
          <w:bCs/>
          <w:i/>
        </w:rPr>
        <w:t>PARÁGRAFO 5.</w:t>
      </w:r>
      <w:r w:rsidRPr="00F53530">
        <w:rPr>
          <w:rFonts w:ascii="Times New Roman" w:hAnsi="Times New Roman"/>
          <w:i/>
        </w:rPr>
        <w:t xml:space="preserve"> </w:t>
      </w:r>
      <w:r w:rsidR="00040448" w:rsidRPr="00F53530">
        <w:rPr>
          <w:rFonts w:ascii="Times New Roman" w:hAnsi="Times New Roman"/>
          <w:i/>
        </w:rPr>
        <w:t>Cuando un mismo contribuyente del régimen simple de tributación-SIMPLE realice dos o más actividades empresariales, este estará sometido a la tarifa simple consolidada más alta, incluyendo la tarifa del impuesto al consumo. El formulario que prescriba la Dirección de Impuestos y Aduanas Nacionales (DIAN) debe permitir que los contribuyentes reporten los municipios donde son desarrolladas sus actividades y los ingresos atribuidos a cada uno de ellos. Lo anterior con el propósito que el Ministerio de Hacienda y Crédito Público pueda transferir los recursos recaudados por concepto de impuesto de industria y comercio consolidado al municipio o distrito que corresponda.</w:t>
      </w:r>
    </w:p>
    <w:p w14:paraId="045A3B0F" w14:textId="77777777" w:rsidR="00040448" w:rsidRPr="00F53530" w:rsidRDefault="00280B8A" w:rsidP="00C44821">
      <w:pPr>
        <w:spacing w:before="240" w:after="240" w:line="240" w:lineRule="auto"/>
        <w:jc w:val="both"/>
        <w:rPr>
          <w:rFonts w:ascii="Times New Roman" w:hAnsi="Times New Roman"/>
          <w:i/>
        </w:rPr>
      </w:pPr>
      <w:r w:rsidRPr="00AA006C">
        <w:rPr>
          <w:rFonts w:ascii="Times New Roman" w:hAnsi="Times New Roman"/>
          <w:b/>
          <w:bCs/>
          <w:i/>
        </w:rPr>
        <w:t>PARÁGRAFO 6.</w:t>
      </w:r>
      <w:r w:rsidR="00A03C6F" w:rsidRPr="00F53530">
        <w:rPr>
          <w:rFonts w:ascii="Times New Roman" w:hAnsi="Times New Roman"/>
          <w:i/>
        </w:rPr>
        <w:t xml:space="preserve"> </w:t>
      </w:r>
      <w:r w:rsidR="00040448" w:rsidRPr="00F53530">
        <w:rPr>
          <w:rFonts w:ascii="Times New Roman" w:hAnsi="Times New Roman"/>
          <w:i/>
        </w:rPr>
        <w:t>En el año gravable en el que el contribuyente del impuesto unificado bajo el régimen simple de tributación -- SIMPLE realice ganancias ocasionales o ingresos no constitutivos de renta ni ganancia ocasional, dichos ingresos no se considerarán para efectos de los límites de ingresos establecidos en este régimen. El impuesto de ganancia ocasional se determina de forma independiente, con base en las reglas generales, y se paga con la presentación de la declaración anual consolidada.</w:t>
      </w:r>
    </w:p>
    <w:p w14:paraId="045A3B1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Artículo 909</w:t>
      </w:r>
      <w:r w:rsidR="00280B8A" w:rsidRPr="00F53530">
        <w:rPr>
          <w:rFonts w:ascii="Times New Roman" w:hAnsi="Times New Roman"/>
          <w:i/>
        </w:rPr>
        <w:t>.</w:t>
      </w:r>
      <w:r w:rsidRPr="00F53530">
        <w:rPr>
          <w:rFonts w:ascii="Times New Roman" w:hAnsi="Times New Roman"/>
          <w:i/>
        </w:rPr>
        <w:t xml:space="preserve"> Inscripción al impuesto unificado bajo el régimen simple de tributación - - simple. Los contribuyentes que opten por acogerse al impuesto unificado bajo el régimen simple de tributación -- SIMPLE deberán inscribirse en el Registro Único Tributario (RUT) como contribuyentes del SIMPLE hasta el 31 del mes de enero del año gravable para el que ejerce la opción. Para los contribuyentes que se inscriban por primera vez en el Registro Único Tributario (RUT), deberán indicar en el formulario de inscripción su intención de acogerse a este régimen. La Dirección de Impuestos y Aduanas Nacionales (DIAN), consolidará mediante Resolución el listado de contribuyentes que se acogieron al régimen simple de tributación - SIMPLE.</w:t>
      </w:r>
    </w:p>
    <w:p w14:paraId="045A3B1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Quienes se inscriban como contribuyentes del impuesto unificado bajo el régimen simple de tributación -- SIMPLE no estarán sometidos al régimen ordinario del impuesto sobre la renta por el respectivo año gravable. Una vez ejercida la opción, la misma debe mantenerse para ese año gravable, sin perjuicio de que para el año gravable siguiente se pueda optar nuevamente por el régimen ordinario, antes del último día hábil del mes de enero del año gravable para el que se ejerce la opción.</w:t>
      </w:r>
    </w:p>
    <w:p w14:paraId="045A3B1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Dirección de Impuestos y Aduanas Nacionales (DIAN) podrá establecer mecanismos simplificados de renovación de la inscripción del Registro Único Tributario (RUT).</w:t>
      </w:r>
    </w:p>
    <w:p w14:paraId="045A3B13" w14:textId="77777777" w:rsidR="00040448" w:rsidRPr="00F53530" w:rsidRDefault="00280B8A" w:rsidP="00C44821">
      <w:pPr>
        <w:spacing w:before="240" w:after="240" w:line="240" w:lineRule="auto"/>
        <w:jc w:val="both"/>
        <w:rPr>
          <w:rFonts w:ascii="Times New Roman" w:hAnsi="Times New Roman"/>
          <w:i/>
        </w:rPr>
      </w:pPr>
      <w:r w:rsidRPr="00AA006C">
        <w:rPr>
          <w:rFonts w:ascii="Times New Roman" w:hAnsi="Times New Roman"/>
          <w:b/>
          <w:bCs/>
          <w:i/>
        </w:rPr>
        <w:t>PARÁGRAFO.</w:t>
      </w:r>
      <w:r w:rsidRPr="00F53530">
        <w:rPr>
          <w:rFonts w:ascii="Times New Roman" w:hAnsi="Times New Roman"/>
          <w:i/>
        </w:rPr>
        <w:t xml:space="preserve"> </w:t>
      </w:r>
      <w:r w:rsidR="00040448" w:rsidRPr="00F53530">
        <w:rPr>
          <w:rFonts w:ascii="Times New Roman" w:hAnsi="Times New Roman"/>
          <w:i/>
        </w:rPr>
        <w:t>Quienes inicien actividades en el año gravable, podrán inscribirse en el régimen SIMPLE en el momento del registro inicial en el Registro Único Tributario (RUT).</w:t>
      </w:r>
    </w:p>
    <w:p w14:paraId="045A3B14" w14:textId="77777777" w:rsidR="00040448" w:rsidRPr="00F53530" w:rsidRDefault="000F1C49" w:rsidP="00C44821">
      <w:pPr>
        <w:spacing w:before="240" w:after="240" w:line="240" w:lineRule="auto"/>
        <w:jc w:val="both"/>
        <w:rPr>
          <w:rFonts w:ascii="Times New Roman" w:hAnsi="Times New Roman"/>
          <w:i/>
        </w:rPr>
      </w:pPr>
      <w:r w:rsidRPr="00AA006C">
        <w:rPr>
          <w:rFonts w:ascii="Times New Roman" w:hAnsi="Times New Roman"/>
          <w:b/>
          <w:bCs/>
          <w:i/>
        </w:rPr>
        <w:t>PARÁGRAFO TRANSITORIO 1.</w:t>
      </w:r>
      <w:r w:rsidRPr="00F53530">
        <w:rPr>
          <w:rFonts w:ascii="Times New Roman" w:hAnsi="Times New Roman"/>
          <w:i/>
        </w:rPr>
        <w:t xml:space="preserve"> </w:t>
      </w:r>
      <w:r w:rsidR="00040448" w:rsidRPr="00F53530">
        <w:rPr>
          <w:rFonts w:ascii="Times New Roman" w:hAnsi="Times New Roman"/>
          <w:i/>
        </w:rPr>
        <w:t>Únicamente por el año 2020, quienes cumplan los requisitos para optar por este régimen podrán hacerlo hasta el 31 de julio de dicho año. Para subsanar el pago del anticipo bimestral correspondiente a los bimestres anteriores a su inscripción, deberán incluir los ingresos en el primer recibo electrónico SIMPLE de pago del anticipo bimestral, sin que se causen sanciones o intereses.</w:t>
      </w:r>
    </w:p>
    <w:p w14:paraId="045A3B1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Si en los bimestres previos a la inscripción en el régimen simple de tributación, el contribuyente pagó el impuesto al consumo y/o el impuesto de industria y comercio y avisos y tableros, impuesto sobre las ventas - IVA o estuvo sujeto a retenciones o auto retenciones en la fuente, por su actividad empresarial, dichas sumas podrán descontarse del valor a pagar por concepto de anticipo de los recibos electrónicos del Simple que sean presentados en los bimestres siguientes.</w:t>
      </w:r>
    </w:p>
    <w:p w14:paraId="045A3B16" w14:textId="77777777" w:rsidR="00040448" w:rsidRPr="00F53530" w:rsidRDefault="000F1C49" w:rsidP="00C44821">
      <w:pPr>
        <w:spacing w:before="240" w:after="240" w:line="240" w:lineRule="auto"/>
        <w:jc w:val="both"/>
        <w:rPr>
          <w:rFonts w:ascii="Times New Roman" w:hAnsi="Times New Roman"/>
          <w:i/>
        </w:rPr>
      </w:pPr>
      <w:r w:rsidRPr="00AA006C">
        <w:rPr>
          <w:rFonts w:ascii="Times New Roman" w:hAnsi="Times New Roman"/>
          <w:b/>
          <w:bCs/>
          <w:i/>
        </w:rPr>
        <w:t>PARÁGRAFO TRANSITORIO 2</w:t>
      </w:r>
      <w:r w:rsidRPr="00F53530">
        <w:rPr>
          <w:rFonts w:ascii="Times New Roman" w:hAnsi="Times New Roman"/>
          <w:i/>
        </w:rPr>
        <w:t xml:space="preserve">. </w:t>
      </w:r>
      <w:r w:rsidR="00040448" w:rsidRPr="00F53530">
        <w:rPr>
          <w:rFonts w:ascii="Times New Roman" w:hAnsi="Times New Roman"/>
          <w:i/>
        </w:rPr>
        <w:t>Quienes a la entrada en vigencia de la presente ley hayan cumplido con los requisitos para optar por el régimen SIMPLE y se hayan inscrito dentro de los plazos establecidos para el efecto, no tendrán que volver a surtir dicho trámite para el año 2020. Lo anterior, siempre que los contribuyentes quieran continuar en el régimen SIMPLE durante dicha vigencia.</w:t>
      </w:r>
    </w:p>
    <w:p w14:paraId="045A3B17" w14:textId="77777777" w:rsidR="00040448" w:rsidRPr="00F53530" w:rsidRDefault="000F1C49" w:rsidP="00C44821">
      <w:pPr>
        <w:spacing w:before="240" w:after="240" w:line="240" w:lineRule="auto"/>
        <w:jc w:val="both"/>
        <w:rPr>
          <w:rFonts w:ascii="Times New Roman" w:hAnsi="Times New Roman"/>
          <w:i/>
        </w:rPr>
      </w:pPr>
      <w:r w:rsidRPr="00AA006C">
        <w:rPr>
          <w:rFonts w:ascii="Times New Roman" w:hAnsi="Times New Roman"/>
          <w:b/>
          <w:bCs/>
          <w:i/>
        </w:rPr>
        <w:t>PARÁGRAFO TRANSITORIO 3.</w:t>
      </w:r>
      <w:r w:rsidR="00A03C6F" w:rsidRPr="00F53530">
        <w:rPr>
          <w:rFonts w:ascii="Times New Roman" w:hAnsi="Times New Roman"/>
          <w:i/>
        </w:rPr>
        <w:t xml:space="preserve"> </w:t>
      </w:r>
      <w:r w:rsidR="00040448" w:rsidRPr="00F53530">
        <w:rPr>
          <w:rFonts w:ascii="Times New Roman" w:hAnsi="Times New Roman"/>
          <w:i/>
        </w:rPr>
        <w:t>Hasta el 31 de diciembre de 2020, las autoridades municipales y distritales tienen plazo para integrar el impuesto de industria y comercio al impuesto unificado bajo el régimen simple de tributación -- SIMPLE.</w:t>
      </w:r>
    </w:p>
    <w:p w14:paraId="045A3B1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consecuencia, únicamente por el año gravable 2020, los contribuyentes que realicen actividades gravadas con el impuesto de industria y comercio y avisos y tableros, en municipios que no hayan integrado este impuesto en el impuesto unificado bajo el régimen simple de tributación -- SIMPLE, podrán descontar el impuesto mencionado en primer lugar en los recibos electrónicos bimestrales del SIMPLE.</w:t>
      </w:r>
    </w:p>
    <w:p w14:paraId="045A3B19" w14:textId="77777777" w:rsidR="00040448" w:rsidRPr="00F53530" w:rsidRDefault="00040448" w:rsidP="00C44821">
      <w:pPr>
        <w:spacing w:before="240" w:after="240" w:line="240" w:lineRule="auto"/>
        <w:jc w:val="both"/>
        <w:rPr>
          <w:rFonts w:ascii="Times New Roman" w:hAnsi="Times New Roman"/>
          <w:i/>
        </w:rPr>
      </w:pPr>
      <w:r w:rsidRPr="00551B4E">
        <w:rPr>
          <w:rFonts w:ascii="Times New Roman" w:hAnsi="Times New Roman"/>
          <w:b/>
          <w:bCs/>
          <w:i/>
        </w:rPr>
        <w:t>Artículo 910</w:t>
      </w:r>
      <w:r w:rsidR="00280B8A" w:rsidRPr="00551B4E">
        <w:rPr>
          <w:rFonts w:ascii="Times New Roman" w:hAnsi="Times New Roman"/>
          <w:b/>
          <w:bCs/>
          <w:i/>
        </w:rPr>
        <w:t>.</w:t>
      </w:r>
      <w:r w:rsidRPr="00551B4E">
        <w:rPr>
          <w:rFonts w:ascii="Times New Roman" w:hAnsi="Times New Roman"/>
          <w:b/>
          <w:bCs/>
          <w:i/>
        </w:rPr>
        <w:t xml:space="preserve"> Declaración y pago del impuesto unificado bajo el régimen simple de tributación - - simple.</w:t>
      </w:r>
      <w:r w:rsidRPr="00F53530">
        <w:rPr>
          <w:rFonts w:ascii="Times New Roman" w:hAnsi="Times New Roman"/>
          <w:i/>
        </w:rPr>
        <w:t xml:space="preserve"> Los contribuyentes del impuesto unificado bajo el régimen simple de tributación -- SIMPLE deberán presentar una declaración anual consolidada dentro de los plazos que fije el Gobierno nacional y en el formulario simplificado señalado por la Dirección de Impuestos y Aduanas Nacionales (DIAN) mediante resolución. Lo anterior sin perjuicio del pago del anticipo bimestral a través del recibo electrónico SIMPLE, el cual se debe presentar de forma obligatoria, con independencia de que haya saldo a pagar de anticipo, de conformidad con los plazos que establezca el Gobierno nacional, en los términos del artículo 908 de este Estatuto. Dicho anticipo se descontará del valor a pagar en la declaración consolidada anual.</w:t>
      </w:r>
    </w:p>
    <w:p w14:paraId="045A3B1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declaración anual consolidada del impuesto unificado bajo el régimen simple de tributación -- SIMPLE deberá transmitirse y presentarse con pago mediante los sistemas electrónicos de la Dirección de Impuestos y Aduanas Nacionales (DIAN), dentro de los plazos que fije el Gobierno nacional y deberá incluir los ingresos del año gravable reportados mediante los recibos electrónicos del SIMPLE. En caso de que los valores pagados bimestralmente sean superiores al impuesto unificado bajo el régimen simple de tributación -- SIMPLE, se reconocerá un saldo a favor compensable de forma automática con los recibos electrónicos SIMPLE de los meses siguientes o con las declaraciones consolidadas anuales siguientes.</w:t>
      </w:r>
    </w:p>
    <w:p w14:paraId="045A3B1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contribuyente deberá informar en la declaración del impuesto unificado bajo el régimen simple de tributación -- SIMPLE la territorialidad de los ingresos obtenidos con el fin de distribuir lo recaudado por concepto del impuesto de industria y comercio consolidado en el municipio o los municipios en donde se efectuó el hecho generador y los anticipos realizados a cada una de esas entidades territoriales.</w:t>
      </w:r>
    </w:p>
    <w:p w14:paraId="045A3B1C" w14:textId="77777777" w:rsidR="00040448" w:rsidRPr="00F53530" w:rsidRDefault="00280B8A" w:rsidP="00C44821">
      <w:pPr>
        <w:spacing w:before="240" w:after="240" w:line="240" w:lineRule="auto"/>
        <w:jc w:val="both"/>
        <w:rPr>
          <w:rFonts w:ascii="Times New Roman" w:hAnsi="Times New Roman"/>
          <w:i/>
        </w:rPr>
      </w:pPr>
      <w:r w:rsidRPr="00551B4E">
        <w:rPr>
          <w:rFonts w:ascii="Times New Roman" w:hAnsi="Times New Roman"/>
          <w:b/>
          <w:bCs/>
          <w:i/>
        </w:rPr>
        <w:t>PARÁGRAFO.</w:t>
      </w:r>
      <w:r w:rsidRPr="00F53530">
        <w:rPr>
          <w:rFonts w:ascii="Times New Roman" w:hAnsi="Times New Roman"/>
          <w:i/>
        </w:rPr>
        <w:t xml:space="preserve"> </w:t>
      </w:r>
      <w:r w:rsidR="00040448" w:rsidRPr="00F53530">
        <w:rPr>
          <w:rFonts w:ascii="Times New Roman" w:hAnsi="Times New Roman"/>
          <w:i/>
        </w:rPr>
        <w:t xml:space="preserve">El pago del impuesto unificado bajo el régimen simple de tributación -- SIMPLE podrá realizarse a través de las redes electrónicas de pago y entidades financieras, incluidas sus redes de corresponsales, que para el efecto determine el Gobierno nacional. Estas entidades o redes deberán transferir el componente de impuesto sobre la renta y complementarios, impuesto nacional </w:t>
      </w:r>
      <w:r w:rsidR="00040448" w:rsidRPr="00F53530">
        <w:rPr>
          <w:rFonts w:ascii="Times New Roman" w:hAnsi="Times New Roman"/>
          <w:i/>
        </w:rPr>
        <w:lastRenderedPageBreak/>
        <w:t>al consumo y el del impuesto de industria y comercio consolidado, conforme con los porcentajes establecidos en la tabla respectiva y conforme con la información respecto de los municipios en los que se desarrollan las actividades económicas que se incluirán en la declaración del impuesto unificado bajo el régimen simple de tributación -- SIMPLE.</w:t>
      </w:r>
    </w:p>
    <w:p w14:paraId="045A3B1D" w14:textId="77777777" w:rsidR="00040448" w:rsidRPr="00F53530" w:rsidRDefault="00040448" w:rsidP="00C44821">
      <w:pPr>
        <w:spacing w:before="240" w:after="240" w:line="240" w:lineRule="auto"/>
        <w:jc w:val="both"/>
        <w:rPr>
          <w:rFonts w:ascii="Times New Roman" w:hAnsi="Times New Roman"/>
          <w:i/>
        </w:rPr>
      </w:pPr>
      <w:r w:rsidRPr="00551B4E">
        <w:rPr>
          <w:rFonts w:ascii="Times New Roman" w:hAnsi="Times New Roman"/>
          <w:b/>
          <w:bCs/>
          <w:i/>
        </w:rPr>
        <w:t>Artículo 911</w:t>
      </w:r>
      <w:r w:rsidR="00280B8A" w:rsidRPr="00551B4E">
        <w:rPr>
          <w:rFonts w:ascii="Times New Roman" w:hAnsi="Times New Roman"/>
          <w:b/>
          <w:bCs/>
          <w:i/>
        </w:rPr>
        <w:t>.</w:t>
      </w:r>
      <w:r w:rsidRPr="00551B4E">
        <w:rPr>
          <w:rFonts w:ascii="Times New Roman" w:hAnsi="Times New Roman"/>
          <w:b/>
          <w:bCs/>
          <w:i/>
        </w:rPr>
        <w:t xml:space="preserve"> Retenciones y autorretenciones en la fuente en el impuesto unificado bajo el régimen simple de tributación - - simple.</w:t>
      </w:r>
      <w:r w:rsidRPr="00F53530">
        <w:rPr>
          <w:rFonts w:ascii="Times New Roman" w:hAnsi="Times New Roman"/>
          <w:i/>
        </w:rPr>
        <w:t xml:space="preserve"> Los contribuyentes del impuesto unificado bajo el régimen simple de tributación -- SIMPLE no estarán sujetos a retención en la fuente y tampoco estarán obligados a practicar retenciones y autorretenciones en la fuente, con excepción de las correspondientes a pagos laborales. En los pagos por compras de bienes o servicios realizados por los contribuyentes del impuesto unificado bajo el régimen simple de tributación -- SIMPLE, el tercero receptor del pago, contribuyente del régimen ordinario y agente retenedor del impuesto sobre la renta, deberá actuar como agente autorretenedor del impuesto. Lo anterior sin perjuicio de la retención en la fuente a título del impuesto sobre las ventas --IVA, regulado en el numeral 9 del artículo 437-2 del </w:t>
      </w:r>
      <w:r w:rsidR="00147EB0">
        <w:rPr>
          <w:rFonts w:ascii="Times New Roman" w:hAnsi="Times New Roman"/>
          <w:i/>
        </w:rPr>
        <w:t>*</w:t>
      </w:r>
      <w:r w:rsidRPr="00F53530">
        <w:rPr>
          <w:rFonts w:ascii="Times New Roman" w:hAnsi="Times New Roman"/>
          <w:i/>
        </w:rPr>
        <w:t>Estatuto Tributario.</w:t>
      </w:r>
    </w:p>
    <w:p w14:paraId="045A3B1E" w14:textId="77777777" w:rsidR="00040448" w:rsidRPr="00F53530" w:rsidRDefault="00040448" w:rsidP="00C44821">
      <w:pPr>
        <w:spacing w:before="240" w:after="240" w:line="240" w:lineRule="auto"/>
        <w:jc w:val="both"/>
        <w:rPr>
          <w:rFonts w:ascii="Times New Roman" w:hAnsi="Times New Roman"/>
          <w:i/>
        </w:rPr>
      </w:pPr>
      <w:r w:rsidRPr="00551B4E">
        <w:rPr>
          <w:rFonts w:ascii="Times New Roman" w:hAnsi="Times New Roman"/>
          <w:b/>
          <w:bCs/>
          <w:i/>
        </w:rPr>
        <w:t>Artículo 912</w:t>
      </w:r>
      <w:r w:rsidR="00280B8A" w:rsidRPr="00551B4E">
        <w:rPr>
          <w:rFonts w:ascii="Times New Roman" w:hAnsi="Times New Roman"/>
          <w:b/>
          <w:bCs/>
          <w:i/>
        </w:rPr>
        <w:t>.</w:t>
      </w:r>
      <w:r w:rsidRPr="00551B4E">
        <w:rPr>
          <w:rFonts w:ascii="Times New Roman" w:hAnsi="Times New Roman"/>
          <w:b/>
          <w:bCs/>
          <w:i/>
        </w:rPr>
        <w:t xml:space="preserve"> Crédito o descuento del impuesto por ingresos de tarjetas de crédito, débito y otros mecanismos de pagos electrónicos</w:t>
      </w:r>
      <w:r w:rsidRPr="00F53530">
        <w:rPr>
          <w:rFonts w:ascii="Times New Roman" w:hAnsi="Times New Roman"/>
          <w:i/>
        </w:rPr>
        <w:t>. Los pagos o abonos en cuenta susceptibles de constituir ingreso tributario para los contribuyentes del impuesto unificado bajo el régimen simple de tributación-SIMPLE, por concepto de ventas de bienes o servicios realizadas a través de los sistemas de tarjetas de crédito y/o débito y otros mecanismos de pagos electrónicos, generarán un crédito o descuento del impuesto a pagar equivalente al 0.5% de los ingresos recibidos por este medio, conforme a certificación emitida por la entidad financiera adquirente. Este descuento no podrá exceder el impuesto a cargo del contribuyente perteneciente al régimen simple de tributación -- SIMPLE y, la parte que corresponda al impuesto de industria y comercio consolidado, no podrá ser cubierta con dicho descuento.</w:t>
      </w:r>
    </w:p>
    <w:p w14:paraId="045A3B1F" w14:textId="77777777" w:rsidR="00040448" w:rsidRPr="00F53530" w:rsidRDefault="00040448" w:rsidP="00C44821">
      <w:pPr>
        <w:spacing w:before="240" w:after="240" w:line="240" w:lineRule="auto"/>
        <w:jc w:val="both"/>
        <w:rPr>
          <w:rFonts w:ascii="Times New Roman" w:hAnsi="Times New Roman"/>
          <w:i/>
        </w:rPr>
      </w:pPr>
      <w:r w:rsidRPr="00551B4E">
        <w:rPr>
          <w:rFonts w:ascii="Times New Roman" w:hAnsi="Times New Roman"/>
          <w:b/>
          <w:bCs/>
          <w:i/>
        </w:rPr>
        <w:t>Artículo 913</w:t>
      </w:r>
      <w:r w:rsidR="00280B8A" w:rsidRPr="00551B4E">
        <w:rPr>
          <w:rFonts w:ascii="Times New Roman" w:hAnsi="Times New Roman"/>
          <w:b/>
          <w:bCs/>
          <w:i/>
        </w:rPr>
        <w:t>.</w:t>
      </w:r>
      <w:r w:rsidRPr="00551B4E">
        <w:rPr>
          <w:rFonts w:ascii="Times New Roman" w:hAnsi="Times New Roman"/>
          <w:b/>
          <w:bCs/>
          <w:i/>
        </w:rPr>
        <w:t xml:space="preserve"> Exclusión del impuesto unificado bajo el régimen simple de tributación - - simple por razones de control</w:t>
      </w:r>
      <w:r w:rsidRPr="00F53530">
        <w:rPr>
          <w:rFonts w:ascii="Times New Roman" w:hAnsi="Times New Roman"/>
          <w:i/>
        </w:rPr>
        <w:t>. Cuando el contribuyente incumpla las condiciones y requisitos previstos para pertenecer al impuesto unificado bajo el régimen simple de tributación -- SIMPLE o cuando se verifique abuso en materia tributaria, y el incumplimiento no sea subsanable, perderá automáticamente su calificación como contribuyente del impuesto unificado bajo el régimen simple de tributación -- SIMPLE y deberá declararse como contribuyente del régimen ordinario, situación que debe actualizarse en el Registro Único Tributario (RUT) y debe transmitirse a las correspondientes autoridades municipales y distritales.</w:t>
      </w:r>
    </w:p>
    <w:p w14:paraId="045A3B2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Dirección de Impuestos y Aduanas Nacionales (DIAN) tendrá las facultades para notificar una liquidación oficial simplificada del impuesto unificado bajo el régimen simple de tributación -- SIMPLE, a través de estimaciones objetivas realizadas por la Administración Tributaria y conforme con la información obtenida de terceros y del mecanismo de la factura electrónica. En el caso de contribuyentes omisos de la obligación tributaria, su inscripción en el impuesto unificado bajo el régimen simple de tributación -- SIMPLE se verificará de forma oficiosa y automática por parte de la Administración Tributaria.</w:t>
      </w:r>
    </w:p>
    <w:p w14:paraId="045A3B2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contribuyente podrá desestimar y controvertir la liquidación oficial simplificada, a través de la presentación de la declaración del impuesto sobre la renta bajo el sistema ordinario o cedular según el caso, dentro de los tres meses siguientes a su notificación, de lo contrario quedará en firme la liquidación oficial simplificada y prestará mérito ejecutivo.</w:t>
      </w:r>
    </w:p>
    <w:p w14:paraId="045A3B22" w14:textId="77777777" w:rsidR="00040448" w:rsidRPr="00F53530" w:rsidRDefault="00040448" w:rsidP="00C44821">
      <w:pPr>
        <w:spacing w:before="240" w:after="240" w:line="240" w:lineRule="auto"/>
        <w:jc w:val="both"/>
        <w:rPr>
          <w:rFonts w:ascii="Times New Roman" w:hAnsi="Times New Roman"/>
          <w:i/>
        </w:rPr>
      </w:pPr>
      <w:r w:rsidRPr="00551B4E">
        <w:rPr>
          <w:rFonts w:ascii="Times New Roman" w:hAnsi="Times New Roman"/>
          <w:b/>
          <w:bCs/>
          <w:i/>
        </w:rPr>
        <w:t>Artículo 914</w:t>
      </w:r>
      <w:r w:rsidR="00280B8A" w:rsidRPr="00551B4E">
        <w:rPr>
          <w:rFonts w:ascii="Times New Roman" w:hAnsi="Times New Roman"/>
          <w:b/>
          <w:bCs/>
          <w:i/>
        </w:rPr>
        <w:t>.</w:t>
      </w:r>
      <w:r w:rsidRPr="00551B4E">
        <w:rPr>
          <w:rFonts w:ascii="Times New Roman" w:hAnsi="Times New Roman"/>
          <w:b/>
          <w:bCs/>
          <w:i/>
        </w:rPr>
        <w:t xml:space="preserve"> Exclusión del impuesto unificado bajo el régimen simple de tributación - - simple por incumplimiento.</w:t>
      </w:r>
      <w:r w:rsidRPr="00F53530">
        <w:rPr>
          <w:rFonts w:ascii="Times New Roman" w:hAnsi="Times New Roman"/>
          <w:i/>
        </w:rPr>
        <w:t xml:space="preserve"> Cuando el contribuyente incumpla los pagos correspondientes al total del periodo </w:t>
      </w:r>
      <w:r w:rsidRPr="00F53530">
        <w:rPr>
          <w:rFonts w:ascii="Times New Roman" w:hAnsi="Times New Roman"/>
          <w:i/>
        </w:rPr>
        <w:lastRenderedPageBreak/>
        <w:t>del impuesto unificado bajo el régimen simple de tributación -- SIMPLE, será excluido del Régimen y no podrá optar por este en el año gravable siguiente al del año gravable de la omisión o retardo en el pago. Se entenderá incumplido cuando el retardo en la declaración o en el pago del recibo SIMPLE sea mayor a un (1) mes calendario.</w:t>
      </w:r>
    </w:p>
    <w:p w14:paraId="045A3B23" w14:textId="77777777" w:rsidR="00040448" w:rsidRPr="00F53530" w:rsidRDefault="00040448" w:rsidP="00C44821">
      <w:pPr>
        <w:spacing w:before="240" w:after="240" w:line="240" w:lineRule="auto"/>
        <w:jc w:val="both"/>
        <w:rPr>
          <w:rFonts w:ascii="Times New Roman" w:hAnsi="Times New Roman"/>
          <w:i/>
        </w:rPr>
      </w:pPr>
      <w:r w:rsidRPr="00551B4E">
        <w:rPr>
          <w:rFonts w:ascii="Times New Roman" w:hAnsi="Times New Roman"/>
          <w:b/>
          <w:bCs/>
          <w:i/>
        </w:rPr>
        <w:t>Artículo 915</w:t>
      </w:r>
      <w:r w:rsidR="00280B8A" w:rsidRPr="00551B4E">
        <w:rPr>
          <w:rFonts w:ascii="Times New Roman" w:hAnsi="Times New Roman"/>
          <w:b/>
          <w:bCs/>
          <w:i/>
        </w:rPr>
        <w:t>.</w:t>
      </w:r>
      <w:r w:rsidRPr="00551B4E">
        <w:rPr>
          <w:rFonts w:ascii="Times New Roman" w:hAnsi="Times New Roman"/>
          <w:b/>
          <w:bCs/>
          <w:i/>
        </w:rPr>
        <w:t xml:space="preserve"> Régimen de IVA y de impuesto al consumo</w:t>
      </w:r>
      <w:r w:rsidRPr="00F53530">
        <w:rPr>
          <w:rFonts w:ascii="Times New Roman" w:hAnsi="Times New Roman"/>
          <w:i/>
        </w:rPr>
        <w:t>. Los contribuyentes del impuesto unificado bajo el régimen simple de tributación -- SIMPLE son responsables del impuesto sobre las ventas -- IVA o del impuesto nacional al consumo.</w:t>
      </w:r>
    </w:p>
    <w:p w14:paraId="045A3B2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el caso de los contribuyentes del impuesto unificado bajo el régimen simple de tributación -- SIMPLE que sean responsables del impuesto sobre las ventas -- IVA, presentarán una declaración anual consolidada del impuesto sobre las ventas -- IVA, sin perjuicio de la obligación de transferir el IVA mensual a pagar mediante el mecanismo del recibo electrónico SIMPLE. En el caso de los contribuyentes del impuesto unificado bajo el régimen simple de tributación - SIMPLE que desarrollen actividades de expendio de comidas y bebidas, el impuesto al consumo se declara y paga mediante el SIMPLE.</w:t>
      </w:r>
    </w:p>
    <w:p w14:paraId="045A3B2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contribuyentes del impuesto unificado bajo el régimen simple de tributación -- SIMPLE están obligados a expedir facturas electrónicas y a solicitar las facturas o documento equivalente a sus proveedores de bienes y servicios, según las normas generales consagradas en el marco tributario.</w:t>
      </w:r>
    </w:p>
    <w:p w14:paraId="045A3B26" w14:textId="77777777" w:rsidR="00040448" w:rsidRPr="00F53530" w:rsidRDefault="00280B8A" w:rsidP="00C44821">
      <w:pPr>
        <w:spacing w:before="240" w:after="240" w:line="240" w:lineRule="auto"/>
        <w:jc w:val="both"/>
        <w:rPr>
          <w:rFonts w:ascii="Times New Roman" w:hAnsi="Times New Roman"/>
          <w:i/>
        </w:rPr>
      </w:pPr>
      <w:r w:rsidRPr="00203D80">
        <w:rPr>
          <w:rFonts w:ascii="Times New Roman" w:hAnsi="Times New Roman"/>
          <w:b/>
          <w:bCs/>
          <w:i/>
        </w:rPr>
        <w:t>PARÁGRAFO.</w:t>
      </w:r>
      <w:r w:rsidR="00A03C6F" w:rsidRPr="00F53530">
        <w:rPr>
          <w:rFonts w:ascii="Times New Roman" w:hAnsi="Times New Roman"/>
          <w:i/>
        </w:rPr>
        <w:t xml:space="preserve"> </w:t>
      </w:r>
      <w:r w:rsidR="00040448" w:rsidRPr="00F53530">
        <w:rPr>
          <w:rFonts w:ascii="Times New Roman" w:hAnsi="Times New Roman"/>
          <w:i/>
        </w:rPr>
        <w:t>Los contribuyentes que opten por el impuesto unificado bajo el Régimen Simple de Tributación -SIMPLE, deberán adoptar el sistema de factura electrónica dentro de los dos (2) meses siguientes a su inscripción en el Registro Único Tributario (RUT). Los demás contribuyentes cumplirán su obligación en los plazos establecidos en las normas generales sobre factura electrónica.</w:t>
      </w:r>
    </w:p>
    <w:p w14:paraId="045A3B27" w14:textId="77777777" w:rsidR="00040448" w:rsidRPr="00F53530" w:rsidRDefault="00040448" w:rsidP="00C44821">
      <w:pPr>
        <w:spacing w:before="240" w:after="240" w:line="240" w:lineRule="auto"/>
        <w:jc w:val="both"/>
        <w:rPr>
          <w:rFonts w:ascii="Times New Roman" w:hAnsi="Times New Roman"/>
          <w:i/>
        </w:rPr>
      </w:pPr>
      <w:r w:rsidRPr="00203D80">
        <w:rPr>
          <w:rFonts w:ascii="Times New Roman" w:hAnsi="Times New Roman"/>
          <w:b/>
          <w:bCs/>
          <w:i/>
        </w:rPr>
        <w:t>Artículo 916</w:t>
      </w:r>
      <w:r w:rsidR="00280B8A" w:rsidRPr="00203D80">
        <w:rPr>
          <w:rFonts w:ascii="Times New Roman" w:hAnsi="Times New Roman"/>
          <w:b/>
          <w:bCs/>
          <w:i/>
        </w:rPr>
        <w:t>.</w:t>
      </w:r>
      <w:r w:rsidRPr="00203D80">
        <w:rPr>
          <w:rFonts w:ascii="Times New Roman" w:hAnsi="Times New Roman"/>
          <w:b/>
          <w:bCs/>
          <w:i/>
        </w:rPr>
        <w:t xml:space="preserve"> Régimen de procedimiento, sancionatorio y de firmeza de las declaraciones del impuesto unificado bajo el régimen simple de tributación - - simple.</w:t>
      </w:r>
      <w:r w:rsidRPr="00F53530">
        <w:rPr>
          <w:rFonts w:ascii="Times New Roman" w:hAnsi="Times New Roman"/>
          <w:i/>
        </w:rPr>
        <w:t xml:space="preserve"> El régimen de procedimiento, sancionatorio y de firmeza de las declaraciones del impuesto unificado bajo el régimen simple de tributación -- SIMPLE es el previsto en el </w:t>
      </w:r>
      <w:r w:rsidR="00147EB0">
        <w:rPr>
          <w:rFonts w:ascii="Times New Roman" w:hAnsi="Times New Roman"/>
          <w:i/>
        </w:rPr>
        <w:t>*</w:t>
      </w:r>
      <w:r w:rsidRPr="00F53530">
        <w:rPr>
          <w:rFonts w:ascii="Times New Roman" w:hAnsi="Times New Roman"/>
          <w:i/>
        </w:rPr>
        <w:t>Estatuto Tributario.</w:t>
      </w:r>
    </w:p>
    <w:p w14:paraId="045A3B28" w14:textId="77777777" w:rsidR="00040448" w:rsidRDefault="00280B8A" w:rsidP="00C44821">
      <w:pPr>
        <w:spacing w:before="240" w:after="240" w:line="240" w:lineRule="auto"/>
        <w:jc w:val="both"/>
        <w:rPr>
          <w:rFonts w:ascii="Times New Roman" w:hAnsi="Times New Roman"/>
          <w:i/>
        </w:rPr>
      </w:pPr>
      <w:r w:rsidRPr="00203D80">
        <w:rPr>
          <w:rFonts w:ascii="Times New Roman" w:hAnsi="Times New Roman"/>
          <w:b/>
          <w:bCs/>
          <w:i/>
        </w:rPr>
        <w:t>PARÁGRAFO.</w:t>
      </w:r>
      <w:r w:rsidRPr="00F53530">
        <w:rPr>
          <w:rFonts w:ascii="Times New Roman" w:hAnsi="Times New Roman"/>
          <w:i/>
        </w:rPr>
        <w:t xml:space="preserve"> </w:t>
      </w:r>
      <w:r w:rsidR="00040448" w:rsidRPr="00F53530">
        <w:rPr>
          <w:rFonts w:ascii="Times New Roman" w:hAnsi="Times New Roman"/>
          <w:i/>
        </w:rPr>
        <w:t>Los ingresos obtenidos por concepto de sanciones e intereses se distribuirán entre la Dirección de Impuestos y Aduanas Nacionales (DIAN) y las autoridades municipales y distritales competentes, en proporción a la participación de los impuestos nacionales y territoriales en el impuesto unificado bajo el régimen simple de tributación -- SIMPLE.</w:t>
      </w:r>
    </w:p>
    <w:p w14:paraId="045A3B29" w14:textId="77777777" w:rsidR="00147EB0" w:rsidRDefault="00147EB0"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67313C0A" w14:textId="0FEDD096" w:rsidR="0066127E" w:rsidRPr="002417E3" w:rsidRDefault="0066127E" w:rsidP="002417E3">
      <w:pPr>
        <w:pStyle w:val="Prrafodelista"/>
        <w:numPr>
          <w:ilvl w:val="0"/>
          <w:numId w:val="17"/>
        </w:numPr>
        <w:spacing w:before="240" w:after="240" w:line="240" w:lineRule="auto"/>
        <w:jc w:val="both"/>
        <w:rPr>
          <w:rFonts w:ascii="Times New Roman" w:hAnsi="Times New Roman"/>
          <w:i/>
          <w:highlight w:val="cyan"/>
        </w:rPr>
      </w:pPr>
      <w:r w:rsidRPr="002417E3">
        <w:rPr>
          <w:rFonts w:ascii="Times New Roman" w:hAnsi="Times New Roman"/>
          <w:highlight w:val="cyan"/>
        </w:rPr>
        <w:t xml:space="preserve">Apartes subrayados del artículo 74 declarado EXEQUIBLE por la Corte Constitucional mediante </w:t>
      </w:r>
      <w:hyperlink r:id="rId60" w:history="1">
        <w:r w:rsidRPr="002417E3">
          <w:rPr>
            <w:rStyle w:val="Hipervnculo"/>
            <w:rFonts w:ascii="Times New Roman" w:hAnsi="Times New Roman"/>
            <w:highlight w:val="cyan"/>
          </w:rPr>
          <w:t xml:space="preserve">Sentencia C-066 de </w:t>
        </w:r>
        <w:r w:rsidR="002417E3" w:rsidRPr="002417E3">
          <w:rPr>
            <w:rStyle w:val="Hipervnculo"/>
            <w:rFonts w:ascii="Times New Roman" w:hAnsi="Times New Roman"/>
            <w:highlight w:val="cyan"/>
          </w:rPr>
          <w:t>18 de marzo de 2021</w:t>
        </w:r>
      </w:hyperlink>
      <w:r w:rsidR="002417E3" w:rsidRPr="002417E3">
        <w:rPr>
          <w:rFonts w:ascii="Times New Roman" w:hAnsi="Times New Roman"/>
          <w:highlight w:val="cyan"/>
        </w:rPr>
        <w:t xml:space="preserve">, Magistrado Ponente Dra. Cristina Pardo Schlesinger. </w:t>
      </w:r>
    </w:p>
    <w:p w14:paraId="045A3B2A" w14:textId="77777777" w:rsidR="00F53530" w:rsidRDefault="00040448" w:rsidP="00C44821">
      <w:pPr>
        <w:pStyle w:val="Ttulo2"/>
      </w:pPr>
      <w:r w:rsidRPr="00F53530">
        <w:t>CAPÍTULO II</w:t>
      </w:r>
      <w:r w:rsidR="005E5D24">
        <w:br/>
      </w:r>
      <w:r w:rsidRPr="00F53530">
        <w:t>RÉGIMEN TRIBUTARIO EN RENTA PARA LAS MEGA INVERSIONES DENTRO DEL TERRITORIO NACIONAL</w:t>
      </w:r>
    </w:p>
    <w:p w14:paraId="045A3B2B" w14:textId="77777777" w:rsidR="00040448" w:rsidRPr="00F53530" w:rsidRDefault="00040448" w:rsidP="00C44821">
      <w:pPr>
        <w:spacing w:before="240" w:after="240" w:line="240" w:lineRule="auto"/>
        <w:jc w:val="both"/>
        <w:rPr>
          <w:rFonts w:ascii="Times New Roman" w:hAnsi="Times New Roman"/>
        </w:rPr>
      </w:pPr>
      <w:r w:rsidRPr="005E5D24">
        <w:rPr>
          <w:rFonts w:ascii="Times New Roman" w:hAnsi="Times New Roman"/>
          <w:b/>
          <w:bCs/>
        </w:rPr>
        <w:t>ARTÍCULO 75.</w:t>
      </w:r>
      <w:r w:rsidR="005E5D24">
        <w:rPr>
          <w:rFonts w:ascii="Times New Roman" w:hAnsi="Times New Roman"/>
        </w:rPr>
        <w:t xml:space="preserve"> </w:t>
      </w:r>
      <w:r w:rsidRPr="00F53530">
        <w:rPr>
          <w:rFonts w:ascii="Times New Roman" w:hAnsi="Times New Roman"/>
        </w:rPr>
        <w:t xml:space="preserve">Adiciónese el artículo 235-3 al </w:t>
      </w:r>
      <w:r w:rsidR="00147EB0">
        <w:rPr>
          <w:rFonts w:ascii="Times New Roman" w:hAnsi="Times New Roman"/>
        </w:rPr>
        <w:t>*</w:t>
      </w:r>
      <w:r w:rsidRPr="00F53530">
        <w:rPr>
          <w:rFonts w:ascii="Times New Roman" w:hAnsi="Times New Roman"/>
        </w:rPr>
        <w:t>Estatuto Tributario, el cual quedará así:</w:t>
      </w:r>
    </w:p>
    <w:p w14:paraId="045A3B2C" w14:textId="77777777" w:rsidR="00040448" w:rsidRPr="00F53530" w:rsidRDefault="00040448" w:rsidP="00C44821">
      <w:pPr>
        <w:spacing w:before="240" w:after="240" w:line="240" w:lineRule="auto"/>
        <w:jc w:val="both"/>
        <w:rPr>
          <w:rFonts w:ascii="Times New Roman" w:hAnsi="Times New Roman"/>
          <w:i/>
        </w:rPr>
      </w:pPr>
      <w:r w:rsidRPr="001A2591">
        <w:rPr>
          <w:rFonts w:ascii="Times New Roman" w:hAnsi="Times New Roman"/>
          <w:b/>
          <w:bCs/>
          <w:i/>
        </w:rPr>
        <w:lastRenderedPageBreak/>
        <w:t>Artículo 235-3</w:t>
      </w:r>
      <w:r w:rsidR="00280B8A" w:rsidRPr="001A2591">
        <w:rPr>
          <w:rFonts w:ascii="Times New Roman" w:hAnsi="Times New Roman"/>
          <w:b/>
          <w:bCs/>
          <w:i/>
        </w:rPr>
        <w:t>.</w:t>
      </w:r>
      <w:r w:rsidRPr="001A2591">
        <w:rPr>
          <w:rFonts w:ascii="Times New Roman" w:hAnsi="Times New Roman"/>
          <w:b/>
          <w:bCs/>
          <w:i/>
        </w:rPr>
        <w:t xml:space="preserve"> Mega-inversiones.</w:t>
      </w:r>
      <w:r w:rsidRPr="00F53530">
        <w:rPr>
          <w:rFonts w:ascii="Times New Roman" w:hAnsi="Times New Roman"/>
          <w:i/>
        </w:rPr>
        <w:t xml:space="preserve"> A partir del 1 de enero de 2020, los contribuyentes del impuesto sobre la renta y complementarios que realicen nuevas inversiones dentro del territorio nacional con valor igual o superior a treinta millones (30.000.000) UVT en cualquier actividad industrial, comercial y/o de servicios y generen al menos cuatrocientos (400) nuevos empleos directos asociados al desarrollo de esta inversión, cumplirán las obligaciones tributarias sustantivas correspondientes al impuesto sobre la renta y complementarios, siguiendo los parámetros que se mencionan a continuación:</w:t>
      </w:r>
    </w:p>
    <w:p w14:paraId="045A3B2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Las inversiones deben hacerse en propiedades, planta y equipo, que sean productivos o que tengan la potencialidad de serlo. Las inversiones se deben hacer en un período máximo de cinco (5) años gravables contados a partir de la aprobación del proyecto de Mega-Inversión. Si trascurrido el plazo, el contribuyente no cumple con el requisito de la inversión, se reconocerá una renta líquida por recuperación de deducciones sobre las cantidades efectivamente invertidas en propiedades, planta y equipo, en la declaración de impuesto sobre la renta del quinto año. Los requisitos y formas de las inversiones de que trata este inciso serán reglamentadas por el Gobierno nacional.</w:t>
      </w:r>
    </w:p>
    <w:p w14:paraId="045A3B2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La tarifa del impuesto sobre la renta y complementarios para los contribuyentes que realicen las nuevas inversiones, sean per sonas naturales o jurídicas, residentes o no residentes, será del 27%. Lo anterior sin perjuicio de las rentas provenientes de servicios hoteleros, las cuales estarán gravadas a la tarifa del 9%.</w:t>
      </w:r>
    </w:p>
    <w:p w14:paraId="045A3B2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Los contribuyentes que realicen las nuevas inversiones, sean personas naturales o jurídicas, residentes o no residentes, podrán depreciar sus activos fijos en un período mínimo de dos (2) años, independientemente de la vida útil del activo.</w:t>
      </w:r>
    </w:p>
    <w:p w14:paraId="045A3B3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3. Los contribuyentes que realicen las nuevas inversiones, sean personas naturales o jurídicas, residentes o no residentes, no estarán sujetos al sistema de renta presuntiva consagrado en los artículos 188 y siguientes del </w:t>
      </w:r>
      <w:r w:rsidR="00147EB0">
        <w:rPr>
          <w:rFonts w:ascii="Times New Roman" w:hAnsi="Times New Roman"/>
          <w:i/>
        </w:rPr>
        <w:t>*</w:t>
      </w:r>
      <w:r w:rsidRPr="00F53530">
        <w:rPr>
          <w:rFonts w:ascii="Times New Roman" w:hAnsi="Times New Roman"/>
          <w:i/>
        </w:rPr>
        <w:t>Estatuto Tributario.</w:t>
      </w:r>
    </w:p>
    <w:p w14:paraId="045A3B3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4.</w:t>
      </w:r>
      <w:r w:rsidR="005E5D24">
        <w:rPr>
          <w:rFonts w:ascii="Times New Roman" w:hAnsi="Times New Roman"/>
          <w:i/>
        </w:rPr>
        <w:t xml:space="preserve"> </w:t>
      </w:r>
      <w:r w:rsidRPr="00F53530">
        <w:rPr>
          <w:rFonts w:ascii="Times New Roman" w:hAnsi="Times New Roman"/>
          <w:i/>
        </w:rPr>
        <w:t>En caso</w:t>
      </w:r>
      <w:r w:rsidR="005E5D24">
        <w:rPr>
          <w:rFonts w:ascii="Times New Roman" w:hAnsi="Times New Roman"/>
          <w:i/>
        </w:rPr>
        <w:t xml:space="preserve"> </w:t>
      </w:r>
      <w:r w:rsidRPr="00F53530">
        <w:rPr>
          <w:rFonts w:ascii="Times New Roman" w:hAnsi="Times New Roman"/>
          <w:i/>
        </w:rPr>
        <w:t xml:space="preserve">que las inversiones sean efectuadas a través de sociedades nacionales o establecimientos permanentes, las utilidades que estas distribuyan, no estarán sometidas al impuesto a los dividendos. Cuando los dividendos o participaciones correspondan a utilidades, que de haberse distribuido hubieren estado gravadas, conforme a las reglas de los artículos 48 y 49 del </w:t>
      </w:r>
      <w:r w:rsidR="00147EB0">
        <w:rPr>
          <w:rFonts w:ascii="Times New Roman" w:hAnsi="Times New Roman"/>
          <w:i/>
        </w:rPr>
        <w:t>*</w:t>
      </w:r>
      <w:r w:rsidRPr="00F53530">
        <w:rPr>
          <w:rFonts w:ascii="Times New Roman" w:hAnsi="Times New Roman"/>
          <w:i/>
        </w:rPr>
        <w:t>Estatuto Tributario, estarán sometidos a la tarifa del 27% sobre el valor pagado o abonado en cuenta. El impuesto será retenido en la fuente, sobre el valor bruto de los pagos o abonos en cuenta por concepto de dividendos o participaciones.</w:t>
      </w:r>
    </w:p>
    <w:p w14:paraId="045A3B3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5. Los proyectos de Mega-Inversiones de que trata el presente artículo no estarán sujetas al impuesto al patrimonio consagrado en el artículo 292-2 del </w:t>
      </w:r>
      <w:r w:rsidR="00147EB0">
        <w:rPr>
          <w:rFonts w:ascii="Times New Roman" w:hAnsi="Times New Roman"/>
          <w:i/>
        </w:rPr>
        <w:t>*</w:t>
      </w:r>
      <w:r w:rsidRPr="00F53530">
        <w:rPr>
          <w:rFonts w:ascii="Times New Roman" w:hAnsi="Times New Roman"/>
          <w:i/>
        </w:rPr>
        <w:t>Estatuto Tributario o aquellos que se creen con posterioridad a la entrada en vigor de la presente ley.</w:t>
      </w:r>
    </w:p>
    <w:p w14:paraId="045A3B3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Podrán existir proyectos de Megainversiones en zona franca a los cuales les aplicará el régimen del impuesto sobre la renta y complementario previsto para Megainversiones.</w:t>
      </w:r>
    </w:p>
    <w:p w14:paraId="045A3B34" w14:textId="77777777" w:rsidR="00040448" w:rsidRPr="00F53530" w:rsidRDefault="00280B8A" w:rsidP="00C44821">
      <w:pPr>
        <w:spacing w:before="240" w:after="240" w:line="240" w:lineRule="auto"/>
        <w:jc w:val="both"/>
        <w:rPr>
          <w:rFonts w:ascii="Times New Roman" w:hAnsi="Times New Roman"/>
          <w:i/>
        </w:rPr>
      </w:pPr>
      <w:r w:rsidRPr="001A2591">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El presente régimen aplicará para aquellas inversiones aprobadas con anterioridad al 1 de enero de 2024, por un término de veinte (20) años contados a partir del periodo gravable en el cual el Ministerio de Comercio, Industria y Turismo notifique el acto administrativo reconociendo el carácter de Mega-Inversión para el nuevo proyecto, de acuerdo con la reglamentación que expida el Gobierno nacional.</w:t>
      </w:r>
    </w:p>
    <w:p w14:paraId="045A3B35" w14:textId="77777777" w:rsidR="00040448" w:rsidRPr="00F53530" w:rsidRDefault="00280B8A" w:rsidP="00C44821">
      <w:pPr>
        <w:spacing w:before="240" w:after="240" w:line="240" w:lineRule="auto"/>
        <w:jc w:val="both"/>
        <w:rPr>
          <w:rFonts w:ascii="Times New Roman" w:hAnsi="Times New Roman"/>
          <w:i/>
        </w:rPr>
      </w:pPr>
      <w:r w:rsidRPr="001A2591">
        <w:rPr>
          <w:rFonts w:ascii="Times New Roman" w:hAnsi="Times New Roman"/>
          <w:b/>
          <w:bCs/>
          <w:i/>
        </w:rPr>
        <w:lastRenderedPageBreak/>
        <w:t>PARÁGRAFO 2.</w:t>
      </w:r>
      <w:r w:rsidRPr="00F53530">
        <w:rPr>
          <w:rFonts w:ascii="Times New Roman" w:hAnsi="Times New Roman"/>
          <w:i/>
        </w:rPr>
        <w:t xml:space="preserve"> </w:t>
      </w:r>
      <w:r w:rsidR="00040448" w:rsidRPr="00F53530">
        <w:rPr>
          <w:rFonts w:ascii="Times New Roman" w:hAnsi="Times New Roman"/>
          <w:i/>
        </w:rPr>
        <w:t>Los inversionistas que ejecuten proyectos relacionados con la evaluación, exploración y explotación de recursos naturales no renovables, tales como la exploración, desarrollo y construcción de minas, y yacimientos de petróleo, no podrán solicitar calificación al Régimen Tributario en Renta para Mega-Inversiones.</w:t>
      </w:r>
    </w:p>
    <w:p w14:paraId="045A3B36" w14:textId="77777777" w:rsidR="00040448" w:rsidRDefault="00280B8A" w:rsidP="00C44821">
      <w:pPr>
        <w:spacing w:before="240" w:after="240" w:line="240" w:lineRule="auto"/>
        <w:jc w:val="both"/>
        <w:rPr>
          <w:rFonts w:ascii="Times New Roman" w:hAnsi="Times New Roman"/>
          <w:i/>
        </w:rPr>
      </w:pPr>
      <w:r w:rsidRPr="001A2591">
        <w:rPr>
          <w:rFonts w:ascii="Times New Roman" w:hAnsi="Times New Roman"/>
          <w:b/>
          <w:bCs/>
          <w:i/>
        </w:rPr>
        <w:t>PARÁGRAFO 3.</w:t>
      </w:r>
      <w:r w:rsidRPr="00F53530">
        <w:rPr>
          <w:rFonts w:ascii="Times New Roman" w:hAnsi="Times New Roman"/>
          <w:i/>
        </w:rPr>
        <w:t xml:space="preserve"> </w:t>
      </w:r>
      <w:r w:rsidR="00040448" w:rsidRPr="00F53530">
        <w:rPr>
          <w:rFonts w:ascii="Times New Roman" w:hAnsi="Times New Roman"/>
          <w:i/>
        </w:rPr>
        <w:t>Las megas inversiones de los sectores de alto componente tecnológico, de tecnologías emergentes y exponenciales, y de comercio electrónico tendrán un requisito de generación mínimo de doscientos cincuenta (250) empleos directos.</w:t>
      </w:r>
    </w:p>
    <w:p w14:paraId="045A3B37" w14:textId="77777777" w:rsidR="00147EB0" w:rsidRPr="00F53530" w:rsidRDefault="00147EB0"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38" w14:textId="77777777" w:rsidR="00040448" w:rsidRPr="00F53530" w:rsidRDefault="00040448" w:rsidP="00C44821">
      <w:pPr>
        <w:spacing w:before="240" w:after="240" w:line="240" w:lineRule="auto"/>
        <w:jc w:val="both"/>
        <w:rPr>
          <w:rFonts w:ascii="Times New Roman" w:hAnsi="Times New Roman"/>
        </w:rPr>
      </w:pPr>
      <w:r w:rsidRPr="005E5D24">
        <w:rPr>
          <w:rFonts w:ascii="Times New Roman" w:hAnsi="Times New Roman"/>
          <w:b/>
          <w:bCs/>
        </w:rPr>
        <w:t>ARTÍCULO 76.</w:t>
      </w:r>
      <w:r w:rsidR="005E5D24">
        <w:rPr>
          <w:rFonts w:ascii="Times New Roman" w:hAnsi="Times New Roman"/>
          <w:b/>
          <w:bCs/>
        </w:rPr>
        <w:t xml:space="preserve"> </w:t>
      </w:r>
      <w:r w:rsidRPr="00F53530">
        <w:rPr>
          <w:rFonts w:ascii="Times New Roman" w:hAnsi="Times New Roman"/>
        </w:rPr>
        <w:t xml:space="preserve">Adiciónese el artículo 235-4 al </w:t>
      </w:r>
      <w:r w:rsidR="00147EB0">
        <w:rPr>
          <w:rFonts w:ascii="Times New Roman" w:hAnsi="Times New Roman"/>
        </w:rPr>
        <w:t>*</w:t>
      </w:r>
      <w:r w:rsidRPr="00F53530">
        <w:rPr>
          <w:rFonts w:ascii="Times New Roman" w:hAnsi="Times New Roman"/>
        </w:rPr>
        <w:t>Estatuto Tributario, el cual quedará así:</w:t>
      </w:r>
    </w:p>
    <w:p w14:paraId="045A3B39" w14:textId="77777777" w:rsidR="00040448" w:rsidRPr="00F53530" w:rsidRDefault="00040448" w:rsidP="00C44821">
      <w:pPr>
        <w:spacing w:before="240" w:after="240" w:line="240" w:lineRule="auto"/>
        <w:jc w:val="both"/>
        <w:rPr>
          <w:rFonts w:ascii="Times New Roman" w:hAnsi="Times New Roman"/>
          <w:i/>
        </w:rPr>
      </w:pPr>
      <w:r w:rsidRPr="001A2591">
        <w:rPr>
          <w:rFonts w:ascii="Times New Roman" w:hAnsi="Times New Roman"/>
          <w:b/>
          <w:bCs/>
          <w:i/>
        </w:rPr>
        <w:t>Artículo 235-4</w:t>
      </w:r>
      <w:r w:rsidR="00280B8A" w:rsidRPr="001A2591">
        <w:rPr>
          <w:rFonts w:ascii="Times New Roman" w:hAnsi="Times New Roman"/>
          <w:b/>
          <w:bCs/>
          <w:i/>
        </w:rPr>
        <w:t>.</w:t>
      </w:r>
      <w:r w:rsidRPr="001A2591">
        <w:rPr>
          <w:rFonts w:ascii="Times New Roman" w:hAnsi="Times New Roman"/>
          <w:b/>
          <w:bCs/>
          <w:i/>
        </w:rPr>
        <w:t xml:space="preserve"> Estabilidad tributaria para mega-inversiones.</w:t>
      </w:r>
      <w:r w:rsidRPr="00F53530">
        <w:rPr>
          <w:rFonts w:ascii="Times New Roman" w:hAnsi="Times New Roman"/>
          <w:i/>
        </w:rPr>
        <w:t xml:space="preserve"> Se establecen los contratos de estabilidad tributaria sobre los nuevos proyectos de Mega-Inversiones que sean desarrollados en el territorio nacional. Mediante estos contratos, el Estado garantiza que los beneficios tributarios y demás condiciones consagrados en el artículo 235-3 de este Estatuto aplicarán por el término de duración del contrato, si se modifica de forma adversa el artículo 235-3 y/u otra norma de carácter tributario nacional que tenga relación directa con este.</w:t>
      </w:r>
    </w:p>
    <w:p w14:paraId="045A3B3A" w14:textId="77777777" w:rsidR="00040448" w:rsidRPr="00F53530" w:rsidRDefault="00280B8A" w:rsidP="00C44821">
      <w:pPr>
        <w:spacing w:before="240" w:after="240" w:line="240" w:lineRule="auto"/>
        <w:jc w:val="both"/>
        <w:rPr>
          <w:rFonts w:ascii="Times New Roman" w:hAnsi="Times New Roman"/>
          <w:i/>
        </w:rPr>
      </w:pPr>
      <w:r w:rsidRPr="006F7A91">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Los contratos de estabilidad tributaria podrán ser suscritos por los contribuyentes del impuesto sobre la renta y complementarios de que trata el artículo 235-3 de este Estatuto, con la Dirección de Impuestos y Aduanas Nacionales.</w:t>
      </w:r>
    </w:p>
    <w:p w14:paraId="045A3B3B" w14:textId="77777777" w:rsidR="00040448" w:rsidRPr="00F53530" w:rsidRDefault="00280B8A" w:rsidP="00C44821">
      <w:pPr>
        <w:spacing w:before="240" w:after="240" w:line="240" w:lineRule="auto"/>
        <w:jc w:val="both"/>
        <w:rPr>
          <w:rFonts w:ascii="Times New Roman" w:hAnsi="Times New Roman"/>
          <w:i/>
        </w:rPr>
      </w:pPr>
      <w:r w:rsidRPr="006F7A91">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Los contratos de estabilidad tributaria deberán cumplir con la totalidad de los siguientes requisitos:</w:t>
      </w:r>
    </w:p>
    <w:p w14:paraId="045A3B3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El inversionista realizará el proceso de calificación del proyecto como Mega-Inversión ante el Ministerio de Comercio, Industria y Turismo, de acuerdo con la reglamentación que expida el Gobierno nacional.</w:t>
      </w:r>
    </w:p>
    <w:p w14:paraId="045A3B3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Una vez el inversionista haya sido notificado del acto administrativo del Ministerio de Comercio, Industria y Turismo, por medio del cual se reconoce el carácter de Mega-Inversión del nuevo proyecto, presentará una solicitud de contrato a la Dirección de Impuestos y Aduanas Nacionales (DIAN). El Gobierno nacional reglamentará los documentos que se deben anexar a la solicitud.</w:t>
      </w:r>
    </w:p>
    <w:p w14:paraId="045A3B3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En los contratos se establecerá que la Dirección de Impuestos y Aduanas Nacionales (DIAN) tendrá facultades de auditoría tributaria, y del avance y cumplimiento del proyecto de inversión.</w:t>
      </w:r>
    </w:p>
    <w:p w14:paraId="045A3B3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d) En los contratos de estabilidad tributaria se deberá establecer el monto de la prima a que se refiere el parágrafo 3 del presente artículo, la forma de pago y demás características de la misma.</w:t>
      </w:r>
    </w:p>
    <w:p w14:paraId="045A3B40" w14:textId="77777777" w:rsidR="00040448" w:rsidRPr="00F53530" w:rsidRDefault="00280B8A" w:rsidP="00C44821">
      <w:pPr>
        <w:spacing w:before="240" w:after="240" w:line="240" w:lineRule="auto"/>
        <w:jc w:val="both"/>
        <w:rPr>
          <w:rFonts w:ascii="Times New Roman" w:hAnsi="Times New Roman"/>
          <w:i/>
        </w:rPr>
      </w:pPr>
      <w:r w:rsidRPr="006F7A91">
        <w:rPr>
          <w:rFonts w:ascii="Times New Roman" w:hAnsi="Times New Roman"/>
          <w:b/>
          <w:bCs/>
          <w:i/>
        </w:rPr>
        <w:t>PARÁGRAFO 3.</w:t>
      </w:r>
      <w:r w:rsidRPr="00F53530">
        <w:rPr>
          <w:rFonts w:ascii="Times New Roman" w:hAnsi="Times New Roman"/>
          <w:i/>
        </w:rPr>
        <w:t xml:space="preserve"> </w:t>
      </w:r>
      <w:r w:rsidR="00040448" w:rsidRPr="00F53530">
        <w:rPr>
          <w:rFonts w:ascii="Times New Roman" w:hAnsi="Times New Roman"/>
          <w:i/>
        </w:rPr>
        <w:t>El inversionista que suscriba un contrato de estabilidad tributaria pagará a favor de la Nación -- Ministerio de Hacienda y Crédito Público una prima equivalente al 0,75% del valor de la inversión que se realice en cada año durante el periodo de cinco (5) años de que trata el artículo anterior de la presente ley, que en cualquier caso no puede ser inferior a treinta millones (30.000.000) UVT.</w:t>
      </w:r>
    </w:p>
    <w:p w14:paraId="045A3B41" w14:textId="77777777" w:rsidR="00040448" w:rsidRPr="00F53530" w:rsidRDefault="00280B8A" w:rsidP="00C44821">
      <w:pPr>
        <w:spacing w:before="240" w:after="240" w:line="240" w:lineRule="auto"/>
        <w:jc w:val="both"/>
        <w:rPr>
          <w:rFonts w:ascii="Times New Roman" w:hAnsi="Times New Roman"/>
          <w:i/>
        </w:rPr>
      </w:pPr>
      <w:r w:rsidRPr="006F7A91">
        <w:rPr>
          <w:rFonts w:ascii="Times New Roman" w:hAnsi="Times New Roman"/>
          <w:b/>
          <w:bCs/>
          <w:i/>
        </w:rPr>
        <w:lastRenderedPageBreak/>
        <w:t>PARÁGRAFO 4.</w:t>
      </w:r>
      <w:r w:rsidR="00A03C6F" w:rsidRPr="00F53530">
        <w:rPr>
          <w:rFonts w:ascii="Times New Roman" w:hAnsi="Times New Roman"/>
          <w:i/>
        </w:rPr>
        <w:t xml:space="preserve"> </w:t>
      </w:r>
      <w:r w:rsidR="00040448" w:rsidRPr="00F53530">
        <w:rPr>
          <w:rFonts w:ascii="Times New Roman" w:hAnsi="Times New Roman"/>
          <w:i/>
        </w:rPr>
        <w:t>Los contratos de estabilidad tributaria empezarán a regir desde su firma y permanecerán vigentes durante el término del beneficio consagrado en el artículo 235-3 de este Estatuto.</w:t>
      </w:r>
    </w:p>
    <w:p w14:paraId="045A3B42" w14:textId="77777777" w:rsidR="00040448" w:rsidRPr="00F53530" w:rsidRDefault="00280B8A" w:rsidP="00C44821">
      <w:pPr>
        <w:spacing w:before="240" w:after="240" w:line="240" w:lineRule="auto"/>
        <w:jc w:val="both"/>
        <w:rPr>
          <w:rFonts w:ascii="Times New Roman" w:hAnsi="Times New Roman"/>
          <w:i/>
        </w:rPr>
      </w:pPr>
      <w:r w:rsidRPr="006F7A91">
        <w:rPr>
          <w:rFonts w:ascii="Times New Roman" w:hAnsi="Times New Roman"/>
          <w:b/>
          <w:bCs/>
          <w:i/>
        </w:rPr>
        <w:t>PARÁGRAFO 5.</w:t>
      </w:r>
      <w:r w:rsidR="00A03C6F" w:rsidRPr="00F53530">
        <w:rPr>
          <w:rFonts w:ascii="Times New Roman" w:hAnsi="Times New Roman"/>
          <w:i/>
        </w:rPr>
        <w:t xml:space="preserve"> </w:t>
      </w:r>
      <w:r w:rsidR="00040448" w:rsidRPr="00F53530">
        <w:rPr>
          <w:rFonts w:ascii="Times New Roman" w:hAnsi="Times New Roman"/>
          <w:i/>
        </w:rPr>
        <w:t>La no realización oportuna o retiro de la totalidad o parte de la inversión, el no pago oportuno de la totalidad o parte de la prima, el estar incurso en la causal del parágrafo 6 del presente artículo, o el incumplimiento de las obligaciones tributarias sustanciales o formales, dará lugar a la terminación anticipada del contrato.</w:t>
      </w:r>
    </w:p>
    <w:p w14:paraId="045A3B43" w14:textId="77777777" w:rsidR="00040448" w:rsidRPr="00F53530" w:rsidRDefault="00280B8A" w:rsidP="00C44821">
      <w:pPr>
        <w:spacing w:before="240" w:after="240" w:line="240" w:lineRule="auto"/>
        <w:jc w:val="both"/>
        <w:rPr>
          <w:rFonts w:ascii="Times New Roman" w:hAnsi="Times New Roman"/>
          <w:i/>
        </w:rPr>
      </w:pPr>
      <w:r w:rsidRPr="006F7A91">
        <w:rPr>
          <w:rFonts w:ascii="Times New Roman" w:hAnsi="Times New Roman"/>
          <w:b/>
          <w:bCs/>
          <w:i/>
        </w:rPr>
        <w:t>PARÁGRAFO 6.</w:t>
      </w:r>
      <w:r w:rsidR="00A03C6F" w:rsidRPr="00F53530">
        <w:rPr>
          <w:rFonts w:ascii="Times New Roman" w:hAnsi="Times New Roman"/>
          <w:i/>
        </w:rPr>
        <w:t xml:space="preserve"> </w:t>
      </w:r>
      <w:r w:rsidR="00040448" w:rsidRPr="00F53530">
        <w:rPr>
          <w:rFonts w:ascii="Times New Roman" w:hAnsi="Times New Roman"/>
          <w:i/>
        </w:rPr>
        <w:t>No podrán suscribir ni ser beneficiarios de los contratos de estabilidad tributaria quienes hayan sido condenados mediante sentencia ejecutoriada o sancionados mediante acto administrativo en firme, en el territorio nacional o en el extranjero, en cualquier época, por conductas de corrupción que sean consideradas punibles por la legislación nacional.</w:t>
      </w:r>
    </w:p>
    <w:p w14:paraId="045A3B44" w14:textId="77777777" w:rsidR="00040448" w:rsidRPr="00F53530" w:rsidRDefault="00280B8A" w:rsidP="00C44821">
      <w:pPr>
        <w:spacing w:before="240" w:after="240" w:line="240" w:lineRule="auto"/>
        <w:jc w:val="both"/>
        <w:rPr>
          <w:rFonts w:ascii="Times New Roman" w:hAnsi="Times New Roman"/>
          <w:i/>
        </w:rPr>
      </w:pPr>
      <w:r w:rsidRPr="006F7A91">
        <w:rPr>
          <w:rFonts w:ascii="Times New Roman" w:hAnsi="Times New Roman"/>
          <w:b/>
          <w:bCs/>
          <w:i/>
        </w:rPr>
        <w:t xml:space="preserve">PARÁGRAFO </w:t>
      </w:r>
      <w:r w:rsidR="004D5AD9">
        <w:rPr>
          <w:rFonts w:ascii="Times New Roman" w:hAnsi="Times New Roman"/>
          <w:b/>
          <w:bCs/>
          <w:i/>
        </w:rPr>
        <w:t>7</w:t>
      </w:r>
      <w:r w:rsidRPr="006F7A91">
        <w:rPr>
          <w:rFonts w:ascii="Times New Roman" w:hAnsi="Times New Roman"/>
          <w:b/>
          <w:bCs/>
          <w:i/>
        </w:rPr>
        <w:t>.</w:t>
      </w:r>
      <w:r w:rsidRPr="00F53530">
        <w:rPr>
          <w:rFonts w:ascii="Times New Roman" w:hAnsi="Times New Roman"/>
          <w:i/>
        </w:rPr>
        <w:t xml:space="preserve"> </w:t>
      </w:r>
      <w:r w:rsidR="00040448" w:rsidRPr="00F53530">
        <w:rPr>
          <w:rFonts w:ascii="Times New Roman" w:hAnsi="Times New Roman"/>
          <w:i/>
        </w:rPr>
        <w:t>Los contratos de estabilidad tributaria aplican solamente para los beneficios y condiciones tributarias señaladas en el artículo 235-3 de este Estatuto. Por lo tanto, los contratos no conceden estabilidad tributaria respecto de otros impuestos directos, impuestos indirectos, impuestos territoriales u otros impuestos, tasas y contribuciones, o elementos de impuestos, tasas y contribuciones que no hayan sido definidos expresamente en el artículo 235-3 de este Estatuto.</w:t>
      </w:r>
    </w:p>
    <w:p w14:paraId="045A3B45"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La estabilidad tributaria tampoco podrá recaer sobre las disposiciones de este artículo que sean declaradas inexequibles durante el término de duración de los contratos de estabilidad tributaria.</w:t>
      </w:r>
    </w:p>
    <w:p w14:paraId="045A3B46" w14:textId="77777777" w:rsidR="00147EB0" w:rsidRPr="00F53530" w:rsidRDefault="00147EB0"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47" w14:textId="77777777" w:rsidR="00F53530" w:rsidRDefault="003111F0" w:rsidP="00C44821">
      <w:pPr>
        <w:pStyle w:val="Ttulo2"/>
      </w:pPr>
      <w:r w:rsidRPr="00F53530">
        <w:t>CAPÍTULO III</w:t>
      </w:r>
      <w:r w:rsidR="00BD0B16">
        <w:br/>
      </w:r>
      <w:r w:rsidR="00040448" w:rsidRPr="00F53530">
        <w:t>RÉGIMEN DE COMPAÑÍAS HOLDING COLOMBIANAS (CHC) EN EL IMPUESTO SOBRE L</w:t>
      </w:r>
      <w:r w:rsidRPr="00F53530">
        <w:t>A RENTA Y GANANCIAS OCASIONALES</w:t>
      </w:r>
    </w:p>
    <w:p w14:paraId="045A3B48" w14:textId="77777777" w:rsidR="00040448" w:rsidRPr="00F53530" w:rsidRDefault="00040448" w:rsidP="00C44821">
      <w:pPr>
        <w:spacing w:before="240" w:after="240" w:line="240" w:lineRule="auto"/>
        <w:jc w:val="both"/>
        <w:rPr>
          <w:rFonts w:ascii="Times New Roman" w:hAnsi="Times New Roman"/>
        </w:rPr>
      </w:pPr>
      <w:r w:rsidRPr="0067262F">
        <w:rPr>
          <w:rFonts w:ascii="Times New Roman" w:hAnsi="Times New Roman"/>
          <w:b/>
          <w:bCs/>
        </w:rPr>
        <w:t>ARTÍCULO 77.</w:t>
      </w:r>
      <w:r w:rsidR="0067262F" w:rsidRPr="0067262F">
        <w:rPr>
          <w:rFonts w:ascii="Times New Roman" w:hAnsi="Times New Roman"/>
          <w:b/>
          <w:bCs/>
        </w:rPr>
        <w:t xml:space="preserve"> </w:t>
      </w:r>
      <w:r w:rsidRPr="00F53530">
        <w:rPr>
          <w:rFonts w:ascii="Times New Roman" w:hAnsi="Times New Roman"/>
        </w:rPr>
        <w:t xml:space="preserve">Adiciónese el siguiente Título al Libro Séptimo del </w:t>
      </w:r>
      <w:r w:rsidR="00F57AE0">
        <w:rPr>
          <w:rFonts w:ascii="Times New Roman" w:hAnsi="Times New Roman"/>
        </w:rPr>
        <w:t>*</w:t>
      </w:r>
      <w:r w:rsidRPr="00F53530">
        <w:rPr>
          <w:rFonts w:ascii="Times New Roman" w:hAnsi="Times New Roman"/>
        </w:rPr>
        <w:t>Estatuto Tributario:</w:t>
      </w:r>
    </w:p>
    <w:p w14:paraId="045A3B49" w14:textId="77777777" w:rsidR="00F53530" w:rsidRPr="00A77962" w:rsidRDefault="00040448" w:rsidP="00C44821">
      <w:pPr>
        <w:spacing w:before="240" w:after="240" w:line="240" w:lineRule="auto"/>
        <w:jc w:val="center"/>
        <w:rPr>
          <w:rFonts w:ascii="Times New Roman" w:hAnsi="Times New Roman"/>
          <w:b/>
          <w:bCs/>
          <w:i/>
          <w:iCs/>
        </w:rPr>
      </w:pPr>
      <w:r w:rsidRPr="00A77962">
        <w:rPr>
          <w:rFonts w:ascii="Times New Roman" w:hAnsi="Times New Roman"/>
          <w:b/>
          <w:bCs/>
          <w:i/>
          <w:iCs/>
        </w:rPr>
        <w:t>TÍTULO II</w:t>
      </w:r>
    </w:p>
    <w:p w14:paraId="045A3B4A" w14:textId="77777777" w:rsidR="00F53530" w:rsidRPr="00A77962" w:rsidRDefault="00040448" w:rsidP="00C44821">
      <w:pPr>
        <w:spacing w:before="240" w:after="240" w:line="240" w:lineRule="auto"/>
        <w:jc w:val="center"/>
        <w:rPr>
          <w:rFonts w:ascii="Times New Roman" w:hAnsi="Times New Roman"/>
          <w:b/>
          <w:bCs/>
          <w:i/>
          <w:iCs/>
        </w:rPr>
      </w:pPr>
      <w:r w:rsidRPr="00A77962">
        <w:rPr>
          <w:rFonts w:ascii="Times New Roman" w:hAnsi="Times New Roman"/>
          <w:b/>
          <w:bCs/>
          <w:i/>
          <w:iCs/>
        </w:rPr>
        <w:t>RÉGIMEN DE COMPAÑÍAS HOLDING COLOMBIANAS (CHC) EN EL IMPUESTO SOBRE LA RENTA Y GANANCIAS OCASIONALES</w:t>
      </w:r>
    </w:p>
    <w:p w14:paraId="045A3B4B" w14:textId="77777777" w:rsidR="00040448" w:rsidRPr="008B5DE2" w:rsidRDefault="00040448" w:rsidP="00C44821">
      <w:pPr>
        <w:spacing w:before="240" w:after="240" w:line="240" w:lineRule="auto"/>
        <w:jc w:val="both"/>
        <w:rPr>
          <w:rFonts w:ascii="Times New Roman" w:hAnsi="Times New Roman"/>
          <w:i/>
          <w:iCs/>
        </w:rPr>
      </w:pPr>
      <w:r w:rsidRPr="00A77962">
        <w:rPr>
          <w:rFonts w:ascii="Times New Roman" w:hAnsi="Times New Roman"/>
          <w:b/>
          <w:bCs/>
          <w:i/>
          <w:iCs/>
        </w:rPr>
        <w:t>Artículo 894</w:t>
      </w:r>
      <w:r w:rsidR="00280B8A" w:rsidRPr="00A77962">
        <w:rPr>
          <w:rFonts w:ascii="Times New Roman" w:hAnsi="Times New Roman"/>
          <w:b/>
          <w:bCs/>
          <w:i/>
          <w:iCs/>
        </w:rPr>
        <w:t>.</w:t>
      </w:r>
      <w:r w:rsidRPr="00A77962">
        <w:rPr>
          <w:rFonts w:ascii="Times New Roman" w:hAnsi="Times New Roman"/>
          <w:b/>
          <w:bCs/>
          <w:i/>
          <w:iCs/>
        </w:rPr>
        <w:t xml:space="preserve"> Compañías Holding Colombianas (CHC).</w:t>
      </w:r>
      <w:r w:rsidRPr="008B5DE2">
        <w:rPr>
          <w:rFonts w:ascii="Times New Roman" w:hAnsi="Times New Roman"/>
          <w:i/>
          <w:iCs/>
        </w:rPr>
        <w:t xml:space="preserve"> Podrán acogerse al régimen CHC las sociedades nacionales que tengan como una de sus actividades principales la tenencia de valores, la inversión o holding de acciones o participaciones en sociedades o entidades colombianas y/o del exterior, y/o la administración de dichas inversiones, siempre que cumplan con las siguientes condiciones:</w:t>
      </w:r>
    </w:p>
    <w:p w14:paraId="045A3B4C" w14:textId="77777777" w:rsidR="00040448" w:rsidRPr="008B5DE2" w:rsidRDefault="00040448" w:rsidP="00C44821">
      <w:pPr>
        <w:spacing w:before="240" w:after="240" w:line="240" w:lineRule="auto"/>
        <w:jc w:val="both"/>
        <w:rPr>
          <w:rFonts w:ascii="Times New Roman" w:hAnsi="Times New Roman"/>
          <w:i/>
          <w:iCs/>
        </w:rPr>
      </w:pPr>
      <w:r w:rsidRPr="008B5DE2">
        <w:rPr>
          <w:rFonts w:ascii="Times New Roman" w:hAnsi="Times New Roman"/>
          <w:i/>
          <w:iCs/>
        </w:rPr>
        <w:t>1. Participación directa o indirecta en al menos el 10% del capital de dos o más sociedades o entidades colombianas y/o extranjeras por un período mínimo de 12 meses.</w:t>
      </w:r>
    </w:p>
    <w:p w14:paraId="045A3B4D" w14:textId="77777777" w:rsidR="00040448" w:rsidRPr="008B5DE2" w:rsidRDefault="00040448" w:rsidP="00C44821">
      <w:pPr>
        <w:spacing w:before="240" w:after="240" w:line="240" w:lineRule="auto"/>
        <w:jc w:val="both"/>
        <w:rPr>
          <w:rFonts w:ascii="Times New Roman" w:hAnsi="Times New Roman"/>
          <w:i/>
          <w:iCs/>
        </w:rPr>
      </w:pPr>
      <w:r w:rsidRPr="008B5DE2">
        <w:rPr>
          <w:rFonts w:ascii="Times New Roman" w:hAnsi="Times New Roman"/>
          <w:i/>
          <w:iCs/>
        </w:rPr>
        <w:t xml:space="preserve">2. Contar con los recursos humanos y materiales para la plena realización del objeto social. Se entenderá que se cumple con los recursos humanos y materiales necesarios para una actividad de holding cuando la compañía cuente con al menos tres (3) empleados, una dirección propia en Colombia y pueda demostrar que la toma de decisiones estratégicas respecto de las inversiones y los </w:t>
      </w:r>
      <w:r w:rsidRPr="008B5DE2">
        <w:rPr>
          <w:rFonts w:ascii="Times New Roman" w:hAnsi="Times New Roman"/>
          <w:i/>
          <w:iCs/>
        </w:rPr>
        <w:lastRenderedPageBreak/>
        <w:t>activos de la CHC se realiza en Colombia, para lo cual la simple formalidad de la Asamblea Anual de Accionistas, no será suficiente.</w:t>
      </w:r>
    </w:p>
    <w:p w14:paraId="045A3B4E" w14:textId="77777777" w:rsidR="00040448" w:rsidRPr="008B5DE2" w:rsidRDefault="00040448" w:rsidP="00C44821">
      <w:pPr>
        <w:spacing w:before="240" w:after="240" w:line="240" w:lineRule="auto"/>
        <w:jc w:val="both"/>
        <w:rPr>
          <w:rFonts w:ascii="Times New Roman" w:hAnsi="Times New Roman"/>
          <w:i/>
          <w:iCs/>
        </w:rPr>
      </w:pPr>
      <w:r w:rsidRPr="008B5DE2">
        <w:rPr>
          <w:rFonts w:ascii="Times New Roman" w:hAnsi="Times New Roman"/>
          <w:i/>
          <w:iCs/>
        </w:rPr>
        <w:t>Las entidades que deseen acogerse al régimen CHC deberán comunicarlo a la Dirección de Impuestos y Aduanas Nacionales (DIAN) mediante los formatos que establezca el reglamento. Las disposiciones contenidas en este título se aplicarán a partir del año fiscal en que se radique la comunicación en la Dirección de Impuestos y Aduanas Nacionales (DIAN).</w:t>
      </w:r>
    </w:p>
    <w:p w14:paraId="045A3B4F" w14:textId="77777777" w:rsidR="00040448" w:rsidRPr="008B5DE2" w:rsidRDefault="00280B8A" w:rsidP="00C44821">
      <w:pPr>
        <w:spacing w:before="240" w:after="240" w:line="240" w:lineRule="auto"/>
        <w:jc w:val="both"/>
        <w:rPr>
          <w:rFonts w:ascii="Times New Roman" w:hAnsi="Times New Roman"/>
          <w:i/>
          <w:iCs/>
        </w:rPr>
      </w:pPr>
      <w:r w:rsidRPr="00A77962">
        <w:rPr>
          <w:rFonts w:ascii="Times New Roman" w:hAnsi="Times New Roman"/>
          <w:b/>
          <w:bCs/>
          <w:i/>
          <w:iCs/>
        </w:rPr>
        <w:t>PARÁGRAFO 1.</w:t>
      </w:r>
      <w:r w:rsidRPr="008B5DE2">
        <w:rPr>
          <w:rFonts w:ascii="Times New Roman" w:hAnsi="Times New Roman"/>
          <w:i/>
          <w:iCs/>
        </w:rPr>
        <w:t xml:space="preserve"> </w:t>
      </w:r>
      <w:r w:rsidR="00040448" w:rsidRPr="008B5DE2">
        <w:rPr>
          <w:rFonts w:ascii="Times New Roman" w:hAnsi="Times New Roman"/>
          <w:i/>
          <w:iCs/>
        </w:rPr>
        <w:t xml:space="preserve">Los beneficios del régimen CHC podrán ser rechazados por la Dirección de Impuestos y Aduanas Nacionales (DIAN) en caso de incumplimiento de los requisitos mencionados en este artículo, lo cual ocurrirá en la respectiva vigencia fiscal en la que se produzca el incumplimiento. Lo anterior, sin perjuicio de la aplicación del artículo 869 y siguientes del </w:t>
      </w:r>
      <w:r w:rsidR="00F57AE0">
        <w:rPr>
          <w:rFonts w:ascii="Times New Roman" w:hAnsi="Times New Roman"/>
          <w:i/>
          <w:iCs/>
        </w:rPr>
        <w:t>*</w:t>
      </w:r>
      <w:r w:rsidR="00040448" w:rsidRPr="008B5DE2">
        <w:rPr>
          <w:rFonts w:ascii="Times New Roman" w:hAnsi="Times New Roman"/>
          <w:i/>
          <w:iCs/>
        </w:rPr>
        <w:t>Estatuto Tributario y las cláusulas antiabuso establecidas en los convenios de doble imposición.</w:t>
      </w:r>
    </w:p>
    <w:p w14:paraId="045A3B50" w14:textId="77777777" w:rsidR="00040448" w:rsidRPr="008B5DE2" w:rsidRDefault="00280B8A" w:rsidP="00C44821">
      <w:pPr>
        <w:spacing w:before="240" w:after="240" w:line="240" w:lineRule="auto"/>
        <w:jc w:val="both"/>
        <w:rPr>
          <w:rFonts w:ascii="Times New Roman" w:hAnsi="Times New Roman"/>
          <w:i/>
          <w:iCs/>
        </w:rPr>
      </w:pPr>
      <w:r w:rsidRPr="00A77962">
        <w:rPr>
          <w:rFonts w:ascii="Times New Roman" w:hAnsi="Times New Roman"/>
          <w:b/>
          <w:bCs/>
          <w:i/>
          <w:iCs/>
        </w:rPr>
        <w:t>PARÁGRAFO 2</w:t>
      </w:r>
      <w:r w:rsidRPr="008B5DE2">
        <w:rPr>
          <w:rFonts w:ascii="Times New Roman" w:hAnsi="Times New Roman"/>
          <w:i/>
          <w:iCs/>
        </w:rPr>
        <w:t>.</w:t>
      </w:r>
      <w:r w:rsidR="00A03C6F" w:rsidRPr="008B5DE2">
        <w:rPr>
          <w:rFonts w:ascii="Times New Roman" w:hAnsi="Times New Roman"/>
          <w:i/>
          <w:iCs/>
        </w:rPr>
        <w:t xml:space="preserve"> </w:t>
      </w:r>
      <w:r w:rsidR="00040448" w:rsidRPr="008B5DE2">
        <w:rPr>
          <w:rFonts w:ascii="Times New Roman" w:hAnsi="Times New Roman"/>
          <w:i/>
          <w:iCs/>
        </w:rPr>
        <w:t>Las entidades públicas descentralizadas que tengan participaciones en otras sociedades, se entenderán incluidas en el régimen CHC.</w:t>
      </w:r>
    </w:p>
    <w:p w14:paraId="045A3B51" w14:textId="77777777" w:rsidR="00040448" w:rsidRPr="008B5DE2" w:rsidRDefault="00040448" w:rsidP="00C44821">
      <w:pPr>
        <w:spacing w:before="240" w:after="240" w:line="240" w:lineRule="auto"/>
        <w:jc w:val="both"/>
        <w:rPr>
          <w:rFonts w:ascii="Times New Roman" w:hAnsi="Times New Roman"/>
          <w:i/>
          <w:iCs/>
        </w:rPr>
      </w:pPr>
      <w:r w:rsidRPr="00A77962">
        <w:rPr>
          <w:rFonts w:ascii="Times New Roman" w:hAnsi="Times New Roman"/>
          <w:b/>
          <w:bCs/>
          <w:i/>
          <w:iCs/>
        </w:rPr>
        <w:t>Artículo 895</w:t>
      </w:r>
      <w:r w:rsidR="00280B8A" w:rsidRPr="00A77962">
        <w:rPr>
          <w:rFonts w:ascii="Times New Roman" w:hAnsi="Times New Roman"/>
          <w:b/>
          <w:bCs/>
          <w:i/>
          <w:iCs/>
        </w:rPr>
        <w:t>.</w:t>
      </w:r>
      <w:r w:rsidRPr="00A77962">
        <w:rPr>
          <w:rFonts w:ascii="Times New Roman" w:hAnsi="Times New Roman"/>
          <w:b/>
          <w:bCs/>
          <w:i/>
          <w:iCs/>
        </w:rPr>
        <w:t xml:space="preserve"> Dividendos y participaciones distribuidos por entidades no residentes en Colombia. </w:t>
      </w:r>
      <w:r w:rsidRPr="008B5DE2">
        <w:rPr>
          <w:rFonts w:ascii="Times New Roman" w:hAnsi="Times New Roman"/>
          <w:i/>
          <w:iCs/>
        </w:rPr>
        <w:t>Los dividendos o participaciones distribuidos por entidades no residentes en Colombia a una CHC estarán exentos del impuesto sobre la renta y se declararán como rentas exentas de capital.</w:t>
      </w:r>
    </w:p>
    <w:p w14:paraId="045A3B52" w14:textId="77777777" w:rsidR="00040448" w:rsidRPr="008B5DE2" w:rsidRDefault="00040448" w:rsidP="00C44821">
      <w:pPr>
        <w:spacing w:before="240" w:after="240" w:line="240" w:lineRule="auto"/>
        <w:jc w:val="both"/>
        <w:rPr>
          <w:rFonts w:ascii="Times New Roman" w:hAnsi="Times New Roman"/>
          <w:i/>
          <w:iCs/>
        </w:rPr>
      </w:pPr>
      <w:r w:rsidRPr="008B5DE2">
        <w:rPr>
          <w:rFonts w:ascii="Times New Roman" w:hAnsi="Times New Roman"/>
          <w:i/>
          <w:iCs/>
        </w:rPr>
        <w:t xml:space="preserve">Los dividendos que a su vez distribuya una CHC a una persona natural residente o a una persona jurídica residente, contribuyente del impuesto sobre la renta, estarán gravados a la tarifa del impuesto sobre la renta por concepto de dividendos, de conformidad con los artículos 242 y 242-1 de este Estatuto. Los dividendos que distribuya una CHC a una persona natural o jurídica no residente en Colombia, se entenderán rentas de fuente extranjera de acuerdo con el literal e) del artículo 25 del </w:t>
      </w:r>
      <w:r w:rsidR="00F57AE0">
        <w:rPr>
          <w:rFonts w:ascii="Times New Roman" w:hAnsi="Times New Roman"/>
          <w:i/>
          <w:iCs/>
        </w:rPr>
        <w:t>*</w:t>
      </w:r>
      <w:r w:rsidRPr="008B5DE2">
        <w:rPr>
          <w:rFonts w:ascii="Times New Roman" w:hAnsi="Times New Roman"/>
          <w:i/>
          <w:iCs/>
        </w:rPr>
        <w:t>Estatuto Tributario.</w:t>
      </w:r>
    </w:p>
    <w:p w14:paraId="045A3B53" w14:textId="77777777" w:rsidR="00040448" w:rsidRPr="008B5DE2" w:rsidRDefault="00040448" w:rsidP="00C44821">
      <w:pPr>
        <w:spacing w:before="240" w:after="240" w:line="240" w:lineRule="auto"/>
        <w:jc w:val="both"/>
        <w:rPr>
          <w:rFonts w:ascii="Times New Roman" w:hAnsi="Times New Roman"/>
          <w:i/>
          <w:iCs/>
        </w:rPr>
      </w:pPr>
      <w:r w:rsidRPr="008B5DE2">
        <w:rPr>
          <w:rFonts w:ascii="Times New Roman" w:hAnsi="Times New Roman"/>
          <w:i/>
          <w:iCs/>
        </w:rPr>
        <w:t>La distribución de la prima en colocación de acciones, que no constituye costo fiscal, tendrá el mismo tratamiento que los dividendos ordinarios, configurándose como rentas exentas cuando el beneficiario sea una CHC, como rentas de fuente extranjera cuando la CHC distribuya a una persona natural o jurídica no residente en Colombia y como renta gravable cuando la CHC distribuya a una persona natural o jurídica residente en Colombia.</w:t>
      </w:r>
    </w:p>
    <w:p w14:paraId="045A3B54" w14:textId="77777777" w:rsidR="00040448" w:rsidRPr="008B5DE2" w:rsidRDefault="00280B8A" w:rsidP="00C44821">
      <w:pPr>
        <w:spacing w:before="240" w:after="240" w:line="240" w:lineRule="auto"/>
        <w:jc w:val="both"/>
        <w:rPr>
          <w:rFonts w:ascii="Times New Roman" w:hAnsi="Times New Roman"/>
          <w:i/>
          <w:iCs/>
        </w:rPr>
      </w:pPr>
      <w:r w:rsidRPr="00DD6946">
        <w:rPr>
          <w:rFonts w:ascii="Times New Roman" w:hAnsi="Times New Roman"/>
          <w:b/>
          <w:bCs/>
          <w:i/>
          <w:iCs/>
        </w:rPr>
        <w:t xml:space="preserve">PARÁGRAFO. </w:t>
      </w:r>
      <w:r w:rsidR="00040448" w:rsidRPr="008B5DE2">
        <w:rPr>
          <w:rFonts w:ascii="Times New Roman" w:hAnsi="Times New Roman"/>
          <w:i/>
          <w:iCs/>
        </w:rPr>
        <w:t>Lo dispuesto en el presente artículo no se aplicará cuando el perceptor de las rentas distribuidas por la CHC tenga su domicilio o sea residente en una jurisdicción no cooperante de baja o nula imposición y/o de un régimen tributario preferencial según lo dispuesto en el artículo 260-7 y sus normas reglamentarias o las disposiciones que los modifiquen o sustituyan.</w:t>
      </w:r>
    </w:p>
    <w:p w14:paraId="045A3B55" w14:textId="77777777" w:rsidR="00040448" w:rsidRPr="008B5DE2" w:rsidRDefault="00040448" w:rsidP="00C44821">
      <w:pPr>
        <w:spacing w:before="240" w:after="240" w:line="240" w:lineRule="auto"/>
        <w:jc w:val="both"/>
        <w:rPr>
          <w:rFonts w:ascii="Times New Roman" w:hAnsi="Times New Roman"/>
          <w:i/>
          <w:iCs/>
        </w:rPr>
      </w:pPr>
      <w:r w:rsidRPr="00DD6946">
        <w:rPr>
          <w:rFonts w:ascii="Times New Roman" w:hAnsi="Times New Roman"/>
          <w:b/>
          <w:bCs/>
          <w:i/>
          <w:iCs/>
        </w:rPr>
        <w:t>Artículo 896</w:t>
      </w:r>
      <w:r w:rsidR="00280B8A" w:rsidRPr="00DD6946">
        <w:rPr>
          <w:rFonts w:ascii="Times New Roman" w:hAnsi="Times New Roman"/>
          <w:b/>
          <w:bCs/>
          <w:i/>
          <w:iCs/>
        </w:rPr>
        <w:t>.</w:t>
      </w:r>
      <w:r w:rsidRPr="00DD6946">
        <w:rPr>
          <w:rFonts w:ascii="Times New Roman" w:hAnsi="Times New Roman"/>
          <w:b/>
          <w:bCs/>
          <w:i/>
          <w:iCs/>
        </w:rPr>
        <w:t xml:space="preserve"> Ganancias ocasionales exentas.</w:t>
      </w:r>
      <w:r w:rsidRPr="008B5DE2">
        <w:rPr>
          <w:rFonts w:ascii="Times New Roman" w:hAnsi="Times New Roman"/>
          <w:i/>
          <w:iCs/>
        </w:rPr>
        <w:t xml:space="preserve"> Las rentas derivadas de la venta o transmisión de la participación de una CHC en entidades no residentes en Colombia estarán exentas del impuesto sobre la renta y deberán declararse como ganancias ocasionales exentas.</w:t>
      </w:r>
    </w:p>
    <w:p w14:paraId="045A3B56" w14:textId="77777777" w:rsidR="00040448" w:rsidRPr="008B5DE2" w:rsidRDefault="00040448" w:rsidP="00C44821">
      <w:pPr>
        <w:spacing w:before="240" w:after="240" w:line="240" w:lineRule="auto"/>
        <w:jc w:val="both"/>
        <w:rPr>
          <w:rFonts w:ascii="Times New Roman" w:hAnsi="Times New Roman"/>
          <w:i/>
          <w:iCs/>
        </w:rPr>
      </w:pPr>
      <w:r w:rsidRPr="008B5DE2">
        <w:rPr>
          <w:rFonts w:ascii="Times New Roman" w:hAnsi="Times New Roman"/>
          <w:i/>
          <w:iCs/>
        </w:rPr>
        <w:t xml:space="preserve">Las rentas derivadas de la venta o transmisión de las acciones o participaciones en una CHC estarán exentas excepto por el valor correspondiente a las utilidades obtenidas por actividades realizadas en Colombia. En el caso de socios o accionistas no residentes, las rentas de la venta o transmisión de las acciones o participaciones en una CHC tendrán el tratamiento de rentas de fuente extranjera respecto de la proporción de la venta atribuible a las actividades realizadas o los activos poseídos por entidades no residentes, según lo dispuesto en el artículo 25 del </w:t>
      </w:r>
      <w:r w:rsidR="00F57AE0">
        <w:rPr>
          <w:rFonts w:ascii="Times New Roman" w:hAnsi="Times New Roman"/>
          <w:i/>
          <w:iCs/>
        </w:rPr>
        <w:t>*</w:t>
      </w:r>
      <w:r w:rsidRPr="008B5DE2">
        <w:rPr>
          <w:rFonts w:ascii="Times New Roman" w:hAnsi="Times New Roman"/>
          <w:i/>
          <w:iCs/>
        </w:rPr>
        <w:t>Estatuto Tributario.</w:t>
      </w:r>
    </w:p>
    <w:p w14:paraId="045A3B57" w14:textId="77777777" w:rsidR="00040448" w:rsidRPr="008B5DE2" w:rsidRDefault="00280B8A" w:rsidP="00C44821">
      <w:pPr>
        <w:spacing w:before="240" w:after="240" w:line="240" w:lineRule="auto"/>
        <w:jc w:val="both"/>
        <w:rPr>
          <w:rFonts w:ascii="Times New Roman" w:hAnsi="Times New Roman"/>
          <w:i/>
          <w:iCs/>
        </w:rPr>
      </w:pPr>
      <w:r w:rsidRPr="003E07A1">
        <w:rPr>
          <w:rFonts w:ascii="Times New Roman" w:hAnsi="Times New Roman"/>
          <w:b/>
          <w:bCs/>
          <w:i/>
          <w:iCs/>
        </w:rPr>
        <w:lastRenderedPageBreak/>
        <w:t>PARÁGRAFO.</w:t>
      </w:r>
      <w:r w:rsidR="00A03C6F" w:rsidRPr="008B5DE2">
        <w:rPr>
          <w:rFonts w:ascii="Times New Roman" w:hAnsi="Times New Roman"/>
          <w:i/>
          <w:iCs/>
        </w:rPr>
        <w:t xml:space="preserve"> </w:t>
      </w:r>
      <w:r w:rsidR="00040448" w:rsidRPr="008B5DE2">
        <w:rPr>
          <w:rFonts w:ascii="Times New Roman" w:hAnsi="Times New Roman"/>
          <w:i/>
          <w:iCs/>
        </w:rPr>
        <w:t xml:space="preserve">Lo dispuesto en el presente artículo no se aplicará cuando el perceptor de las rentas derivadas de la venta de las acciones en la CHC o distribuidas por esta, tenga su domicilio o sea residente en una jurisdicción no cooperante de baja o nula imposición y/o de un régimen tributario preferencial, según lo dispuesto en el artículo 260-7 del </w:t>
      </w:r>
      <w:r w:rsidR="00F57AE0">
        <w:rPr>
          <w:rFonts w:ascii="Times New Roman" w:hAnsi="Times New Roman"/>
          <w:i/>
          <w:iCs/>
        </w:rPr>
        <w:t>*</w:t>
      </w:r>
      <w:r w:rsidR="00040448" w:rsidRPr="008B5DE2">
        <w:rPr>
          <w:rFonts w:ascii="Times New Roman" w:hAnsi="Times New Roman"/>
          <w:i/>
          <w:iCs/>
        </w:rPr>
        <w:t>Estatuto Tributario y sus normas reglamentarias o las disposiciones que los modifiquen o sustituyan.</w:t>
      </w:r>
    </w:p>
    <w:p w14:paraId="045A3B58" w14:textId="77777777" w:rsidR="00040448" w:rsidRPr="008B5DE2" w:rsidRDefault="00040448" w:rsidP="00C44821">
      <w:pPr>
        <w:spacing w:before="240" w:after="240" w:line="240" w:lineRule="auto"/>
        <w:jc w:val="both"/>
        <w:rPr>
          <w:rFonts w:ascii="Times New Roman" w:hAnsi="Times New Roman"/>
          <w:i/>
          <w:iCs/>
        </w:rPr>
      </w:pPr>
      <w:r w:rsidRPr="003E07A1">
        <w:rPr>
          <w:rFonts w:ascii="Times New Roman" w:hAnsi="Times New Roman"/>
          <w:b/>
          <w:bCs/>
          <w:i/>
          <w:iCs/>
        </w:rPr>
        <w:t>Artículo 897</w:t>
      </w:r>
      <w:r w:rsidR="00280B8A" w:rsidRPr="008B5DE2">
        <w:rPr>
          <w:rFonts w:ascii="Times New Roman" w:hAnsi="Times New Roman"/>
          <w:i/>
          <w:iCs/>
        </w:rPr>
        <w:t>.</w:t>
      </w:r>
      <w:r w:rsidRPr="008B5DE2">
        <w:rPr>
          <w:rFonts w:ascii="Times New Roman" w:hAnsi="Times New Roman"/>
          <w:i/>
          <w:iCs/>
        </w:rPr>
        <w:t xml:space="preserve"> Obligaciones de información y documentación. Las CHC deberán mantener la documentación que acredite el importe de las rentas exentas y los impuestos pagados en el extranjero correspondientes a estas, así como facilitar a sus socios o accionistas la información necesaria para que estos puedan cumplir lo previsto en los artículos anteriores. Adicionalmente, deberán mantener los estudios, documentos y comunicaciones, que justifiquen que la toma de decisiones estratégicas respecto de las inversiones se verifica en Colombia.</w:t>
      </w:r>
    </w:p>
    <w:p w14:paraId="045A3B59" w14:textId="77777777" w:rsidR="00040448" w:rsidRPr="008B5DE2" w:rsidRDefault="00040448" w:rsidP="00C44821">
      <w:pPr>
        <w:spacing w:before="240" w:after="240" w:line="240" w:lineRule="auto"/>
        <w:jc w:val="both"/>
        <w:rPr>
          <w:rFonts w:ascii="Times New Roman" w:hAnsi="Times New Roman"/>
          <w:i/>
          <w:iCs/>
        </w:rPr>
      </w:pPr>
      <w:r w:rsidRPr="003E07A1">
        <w:rPr>
          <w:rFonts w:ascii="Times New Roman" w:hAnsi="Times New Roman"/>
          <w:b/>
          <w:bCs/>
          <w:i/>
          <w:iCs/>
        </w:rPr>
        <w:t>Artículo 898</w:t>
      </w:r>
      <w:r w:rsidR="00280B8A" w:rsidRPr="003E07A1">
        <w:rPr>
          <w:rFonts w:ascii="Times New Roman" w:hAnsi="Times New Roman"/>
          <w:b/>
          <w:bCs/>
          <w:i/>
          <w:iCs/>
        </w:rPr>
        <w:t>.</w:t>
      </w:r>
      <w:r w:rsidRPr="003E07A1">
        <w:rPr>
          <w:rFonts w:ascii="Times New Roman" w:hAnsi="Times New Roman"/>
          <w:b/>
          <w:bCs/>
          <w:i/>
          <w:iCs/>
        </w:rPr>
        <w:t xml:space="preserve"> Coordinación con otros regímenes.</w:t>
      </w:r>
      <w:r w:rsidRPr="008B5DE2">
        <w:rPr>
          <w:rFonts w:ascii="Times New Roman" w:hAnsi="Times New Roman"/>
          <w:i/>
          <w:iCs/>
        </w:rPr>
        <w:t xml:space="preserve"> Las CHC y sus accionistas estarán sometidos al régimen general del impuesto sobre la renta respecto de las actividades gravadas realizadas en el territorio nacional y en el extranjero a través de establecimientos permanentes. Adicionalmente, se tendrán en cuenta las siguientes interacciones para efectos de la tributación de las CHC:</w:t>
      </w:r>
    </w:p>
    <w:p w14:paraId="045A3B5A" w14:textId="77777777" w:rsidR="00040448" w:rsidRPr="008B5DE2" w:rsidRDefault="00040448" w:rsidP="00C44821">
      <w:pPr>
        <w:spacing w:before="240" w:after="240" w:line="240" w:lineRule="auto"/>
        <w:jc w:val="both"/>
        <w:rPr>
          <w:rFonts w:ascii="Times New Roman" w:hAnsi="Times New Roman"/>
          <w:i/>
          <w:iCs/>
        </w:rPr>
      </w:pPr>
      <w:r w:rsidRPr="008B5DE2">
        <w:rPr>
          <w:rFonts w:ascii="Times New Roman" w:hAnsi="Times New Roman"/>
          <w:i/>
          <w:iCs/>
        </w:rPr>
        <w:t>1. Las CHC se consideran residentes fiscales colombianos para efectos de los convenios de doble imposición suscritos por Colombia.</w:t>
      </w:r>
    </w:p>
    <w:p w14:paraId="045A3B5B" w14:textId="77777777" w:rsidR="00040448" w:rsidRPr="008B5DE2" w:rsidRDefault="00040448" w:rsidP="00C44821">
      <w:pPr>
        <w:spacing w:before="240" w:after="240" w:line="240" w:lineRule="auto"/>
        <w:jc w:val="both"/>
        <w:rPr>
          <w:rFonts w:ascii="Times New Roman" w:hAnsi="Times New Roman"/>
          <w:i/>
          <w:iCs/>
        </w:rPr>
      </w:pPr>
      <w:r w:rsidRPr="008B5DE2">
        <w:rPr>
          <w:rFonts w:ascii="Times New Roman" w:hAnsi="Times New Roman"/>
          <w:i/>
          <w:iCs/>
        </w:rPr>
        <w:t xml:space="preserve">2. Para efectos del artículo 177-1 del </w:t>
      </w:r>
      <w:r w:rsidR="00F57AE0">
        <w:rPr>
          <w:rFonts w:ascii="Times New Roman" w:hAnsi="Times New Roman"/>
          <w:i/>
          <w:iCs/>
        </w:rPr>
        <w:t>*</w:t>
      </w:r>
      <w:r w:rsidRPr="008B5DE2">
        <w:rPr>
          <w:rFonts w:ascii="Times New Roman" w:hAnsi="Times New Roman"/>
          <w:i/>
          <w:iCs/>
        </w:rPr>
        <w:t>Estatuto Tributario, serán deducibles en cabeza de las CHC, únicamente los costos y gastos atribuibles a los ingresos obtenidos por actividades gravadas realizadas en Colombia o en el extranjero a través de establecimientos permanentes.</w:t>
      </w:r>
    </w:p>
    <w:p w14:paraId="045A3B5C" w14:textId="77777777" w:rsidR="00040448" w:rsidRPr="008B5DE2" w:rsidRDefault="00040448" w:rsidP="00C44821">
      <w:pPr>
        <w:spacing w:before="240" w:after="240" w:line="240" w:lineRule="auto"/>
        <w:jc w:val="both"/>
        <w:rPr>
          <w:rFonts w:ascii="Times New Roman" w:hAnsi="Times New Roman"/>
          <w:i/>
          <w:iCs/>
        </w:rPr>
      </w:pPr>
      <w:r w:rsidRPr="008B5DE2">
        <w:rPr>
          <w:rFonts w:ascii="Times New Roman" w:hAnsi="Times New Roman"/>
          <w:i/>
          <w:iCs/>
        </w:rPr>
        <w:t>3. Las CHC estarán sometidas al régimen ECE y podrán aplicar el descuento por impuestos pagados al exterior de acuerdo con lo dispuesto en el artículo 892 de este Estatuto. Las rentas reconocidas bajo el régimen ECE, no tendrán los beneficios del régimen CHC.</w:t>
      </w:r>
    </w:p>
    <w:p w14:paraId="045A3B5D" w14:textId="77777777" w:rsidR="00040448" w:rsidRDefault="00040448" w:rsidP="00C44821">
      <w:pPr>
        <w:spacing w:before="240" w:after="240" w:line="240" w:lineRule="auto"/>
        <w:jc w:val="both"/>
        <w:rPr>
          <w:rFonts w:ascii="Times New Roman" w:hAnsi="Times New Roman"/>
          <w:i/>
          <w:iCs/>
        </w:rPr>
      </w:pPr>
      <w:r w:rsidRPr="008B5DE2">
        <w:rPr>
          <w:rFonts w:ascii="Times New Roman" w:hAnsi="Times New Roman"/>
          <w:i/>
          <w:iCs/>
        </w:rPr>
        <w:t>4. Las CHC se encuentran sometidas al impuesto de industria y comercio en la medida en que realicen el hecho generador dentro del territorio de un municipio colombiano. Los dividendos recibidos por las inversiones en entidades extranjeras y cubiertos por el régimen CHC, no estarán sujetos al impuesto de industria y comercio.</w:t>
      </w:r>
    </w:p>
    <w:p w14:paraId="045A3B5E" w14:textId="77777777" w:rsidR="00F57AE0" w:rsidRPr="008B5DE2" w:rsidRDefault="00F57AE0" w:rsidP="00C44821">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5F" w14:textId="77777777" w:rsidR="00F53530" w:rsidRDefault="00040448" w:rsidP="00C44821">
      <w:pPr>
        <w:pStyle w:val="Ttulo2"/>
      </w:pPr>
      <w:r w:rsidRPr="00F53530">
        <w:t>CAPÍTULO IV</w:t>
      </w:r>
      <w:r w:rsidR="008B5DE2">
        <w:br/>
      </w:r>
      <w:r w:rsidRPr="00F53530">
        <w:t>OBRAS POR IMPUESTOS</w:t>
      </w:r>
    </w:p>
    <w:p w14:paraId="045A3B60" w14:textId="4A964158" w:rsidR="00040448" w:rsidRPr="00F53530" w:rsidRDefault="00040448" w:rsidP="00C44821">
      <w:pPr>
        <w:spacing w:before="240" w:after="240" w:line="240" w:lineRule="auto"/>
        <w:jc w:val="both"/>
        <w:rPr>
          <w:rFonts w:ascii="Times New Roman" w:hAnsi="Times New Roman"/>
        </w:rPr>
      </w:pPr>
      <w:r w:rsidRPr="008B5DE2">
        <w:rPr>
          <w:rFonts w:ascii="Times New Roman" w:hAnsi="Times New Roman"/>
          <w:b/>
          <w:bCs/>
        </w:rPr>
        <w:t>ARTÍCULO 78.</w:t>
      </w:r>
      <w:r w:rsidR="008B5DE2" w:rsidRPr="008B5DE2">
        <w:rPr>
          <w:rFonts w:ascii="Times New Roman" w:hAnsi="Times New Roman"/>
          <w:b/>
          <w:bCs/>
        </w:rPr>
        <w:t xml:space="preserve"> </w:t>
      </w:r>
      <w:r w:rsidRPr="00F53530">
        <w:rPr>
          <w:rFonts w:ascii="Times New Roman" w:hAnsi="Times New Roman"/>
        </w:rPr>
        <w:t xml:space="preserve">Adiciónese un parágrafo 7 al artículo 238 de la </w:t>
      </w:r>
      <w:hyperlink r:id="rId61" w:history="1">
        <w:r w:rsidRPr="00AB67B9">
          <w:rPr>
            <w:rStyle w:val="Hipervnculo"/>
            <w:rFonts w:ascii="Times New Roman" w:hAnsi="Times New Roman"/>
          </w:rPr>
          <w:t>Ley 1819 de 2016</w:t>
        </w:r>
      </w:hyperlink>
      <w:r w:rsidRPr="00F53530">
        <w:rPr>
          <w:rFonts w:ascii="Times New Roman" w:hAnsi="Times New Roman"/>
        </w:rPr>
        <w:t>, el cual quedará así:</w:t>
      </w:r>
    </w:p>
    <w:p w14:paraId="045A3B61" w14:textId="77777777" w:rsidR="00040448" w:rsidRPr="00F53530" w:rsidRDefault="00280B8A" w:rsidP="00C44821">
      <w:pPr>
        <w:spacing w:before="240" w:after="240" w:line="240" w:lineRule="auto"/>
        <w:jc w:val="both"/>
        <w:rPr>
          <w:rFonts w:ascii="Times New Roman" w:hAnsi="Times New Roman"/>
          <w:i/>
        </w:rPr>
      </w:pPr>
      <w:r w:rsidRPr="003E07A1">
        <w:rPr>
          <w:rFonts w:ascii="Times New Roman" w:hAnsi="Times New Roman"/>
          <w:b/>
          <w:bCs/>
          <w:i/>
        </w:rPr>
        <w:t xml:space="preserve">PARÁGRAFO </w:t>
      </w:r>
      <w:r w:rsidR="003111F0" w:rsidRPr="003E07A1">
        <w:rPr>
          <w:rFonts w:ascii="Times New Roman" w:hAnsi="Times New Roman"/>
          <w:b/>
          <w:bCs/>
          <w:i/>
        </w:rPr>
        <w:t>7</w:t>
      </w:r>
      <w:r w:rsidRPr="003E07A1">
        <w:rPr>
          <w:rFonts w:ascii="Times New Roman" w:hAnsi="Times New Roman"/>
          <w:b/>
          <w:bCs/>
          <w:i/>
        </w:rPr>
        <w:t>.</w:t>
      </w:r>
      <w:r w:rsidRPr="00F53530">
        <w:rPr>
          <w:rFonts w:ascii="Times New Roman" w:hAnsi="Times New Roman"/>
          <w:i/>
        </w:rPr>
        <w:t xml:space="preserve"> </w:t>
      </w:r>
      <w:r w:rsidR="00040448" w:rsidRPr="00F53530">
        <w:rPr>
          <w:rFonts w:ascii="Times New Roman" w:hAnsi="Times New Roman"/>
          <w:i/>
        </w:rPr>
        <w:t xml:space="preserve">Los contribuyentes podrán optar por el mecanismo de obras por impuestos previsto en el presente artículo, o por el establecido en el artículo 800-1 del </w:t>
      </w:r>
      <w:r w:rsidR="00F57AE0">
        <w:rPr>
          <w:rFonts w:ascii="Times New Roman" w:hAnsi="Times New Roman"/>
          <w:i/>
        </w:rPr>
        <w:t>*</w:t>
      </w:r>
      <w:r w:rsidR="00040448" w:rsidRPr="00F53530">
        <w:rPr>
          <w:rFonts w:ascii="Times New Roman" w:hAnsi="Times New Roman"/>
          <w:i/>
        </w:rPr>
        <w:t>Estatuto Tributario.</w:t>
      </w:r>
    </w:p>
    <w:p w14:paraId="045A3B62" w14:textId="24C10985"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Durante la vigencia 2020 serán elegibles los proyectos de obras por impuestos de que trata el artículo 238 de la </w:t>
      </w:r>
      <w:hyperlink r:id="rId62" w:history="1">
        <w:r w:rsidRPr="00AB67B9">
          <w:rPr>
            <w:rStyle w:val="Hipervnculo"/>
            <w:rFonts w:ascii="Times New Roman" w:hAnsi="Times New Roman"/>
            <w:i/>
          </w:rPr>
          <w:t>Ley 1819 de 2016</w:t>
        </w:r>
      </w:hyperlink>
      <w:r w:rsidRPr="00F53530">
        <w:rPr>
          <w:rFonts w:ascii="Times New Roman" w:hAnsi="Times New Roman"/>
          <w:i/>
        </w:rPr>
        <w:t>, registrados hasta el diez (10) de marzo de 2020 en el Banco de proyectos de inversión.</w:t>
      </w:r>
    </w:p>
    <w:p w14:paraId="045A3B63" w14:textId="77777777" w:rsidR="00F57AE0" w:rsidRPr="00F53530" w:rsidRDefault="00F57AE0" w:rsidP="00C44821">
      <w:pPr>
        <w:spacing w:before="240" w:after="240" w:line="240" w:lineRule="auto"/>
        <w:jc w:val="both"/>
        <w:rPr>
          <w:rFonts w:ascii="Times New Roman" w:hAnsi="Times New Roman"/>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64" w14:textId="77777777" w:rsidR="00040448" w:rsidRPr="00F53530" w:rsidRDefault="00040448" w:rsidP="00C44821">
      <w:pPr>
        <w:spacing w:before="240" w:after="240" w:line="240" w:lineRule="auto"/>
        <w:jc w:val="both"/>
        <w:rPr>
          <w:rFonts w:ascii="Times New Roman" w:hAnsi="Times New Roman"/>
        </w:rPr>
      </w:pPr>
      <w:r w:rsidRPr="008B5DE2">
        <w:rPr>
          <w:rFonts w:ascii="Times New Roman" w:hAnsi="Times New Roman"/>
          <w:b/>
          <w:bCs/>
        </w:rPr>
        <w:t>ARTÍCULO 79.</w:t>
      </w:r>
      <w:r w:rsidR="008B5DE2">
        <w:rPr>
          <w:rFonts w:ascii="Times New Roman" w:hAnsi="Times New Roman"/>
          <w:b/>
          <w:bCs/>
        </w:rPr>
        <w:t xml:space="preserve"> </w:t>
      </w:r>
      <w:r w:rsidRPr="00F53530">
        <w:rPr>
          <w:rFonts w:ascii="Times New Roman" w:hAnsi="Times New Roman"/>
        </w:rPr>
        <w:t xml:space="preserve">Adiciónese el artículo 800-1 al </w:t>
      </w:r>
      <w:r w:rsidR="00F57AE0">
        <w:rPr>
          <w:rFonts w:ascii="Times New Roman" w:hAnsi="Times New Roman"/>
        </w:rPr>
        <w:t>*</w:t>
      </w:r>
      <w:r w:rsidRPr="00F53530">
        <w:rPr>
          <w:rFonts w:ascii="Times New Roman" w:hAnsi="Times New Roman"/>
        </w:rPr>
        <w:t>Estatuto Tributario, el cual quedará así:</w:t>
      </w:r>
    </w:p>
    <w:p w14:paraId="045A3B65" w14:textId="77777777" w:rsidR="00040448" w:rsidRPr="00F53530" w:rsidRDefault="00040448" w:rsidP="00C44821">
      <w:pPr>
        <w:spacing w:before="240" w:after="240" w:line="240" w:lineRule="auto"/>
        <w:jc w:val="both"/>
        <w:rPr>
          <w:rFonts w:ascii="Times New Roman" w:hAnsi="Times New Roman"/>
          <w:i/>
        </w:rPr>
      </w:pPr>
      <w:r w:rsidRPr="003E07A1">
        <w:rPr>
          <w:rFonts w:ascii="Times New Roman" w:hAnsi="Times New Roman"/>
          <w:b/>
          <w:bCs/>
          <w:i/>
        </w:rPr>
        <w:t>Artículo 800-1</w:t>
      </w:r>
      <w:r w:rsidR="00280B8A" w:rsidRPr="003E07A1">
        <w:rPr>
          <w:rFonts w:ascii="Times New Roman" w:hAnsi="Times New Roman"/>
          <w:b/>
          <w:bCs/>
          <w:i/>
        </w:rPr>
        <w:t>.</w:t>
      </w:r>
      <w:r w:rsidRPr="003E07A1">
        <w:rPr>
          <w:rFonts w:ascii="Times New Roman" w:hAnsi="Times New Roman"/>
          <w:b/>
          <w:bCs/>
          <w:i/>
        </w:rPr>
        <w:t xml:space="preserve"> Obras por impuestos.</w:t>
      </w:r>
      <w:r w:rsidRPr="00F53530">
        <w:rPr>
          <w:rFonts w:ascii="Times New Roman" w:hAnsi="Times New Roman"/>
          <w:i/>
        </w:rPr>
        <w:t xml:space="preserve"> Las personas naturales o jurídicas obligadas a llevar contabilidad, contribuyentes del impuesto sobre la renta y complementarios que en el año o período gravable inmediatamente anterior hayan obtenido ingresos brutos iguales o superiores a treinta y tres mil seiscientos diez (33.610) UVT, podrán celebrar convenios con las entidades públicas del nivel nacional, por los que recibirán a cambio títulos negociables para el pago del impuesto sobre la renta, en los términos previstos en la presente disposición. Los compromisos de inversión adquiridos en estos convenios no podrán superar el treinta por ciento (30%) del patrimonio contable del contribuyente, para lo cual se tendrá en cuenta el patrimonio del año inmediatamente anterior a la suscripción de los mismos. En caso de que los aspirantes no hayan tenido ingresos en el año inmediatamente anterior por encontrarse en período improductivo, la Agencia de Renovación del Territorio (ART) podrá autorizar la realización de los proyectos a los que se refiere la presente disposición, si verifica que el contribuyente puede otorgar garantías suficientes para la ejecución del proyecto, a través de sus vinculados económicos o de entidades financieras o aseguradoras de reconocida idoneidad.</w:t>
      </w:r>
    </w:p>
    <w:p w14:paraId="045A3B6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objeto de los convenios será la inversión directa en la ejecución de proyectos de trascendencia económica y social en los diferentes municipios definidos como las Zonas Más Afectadas por el Conflicto Armado (Zomac), relacionados con agua potable y saneamiento básico, energía, salud pública, educación pública, bienes públicos rurales, adaptación al cambio climático y gestión del riesgo, pagos por servicios ambientales, tecnologías de la información y comunicaciones, infraestructura de transporte, infraestructura productiva, infraestructura cultural, infraestructura deportiva y las demás que defina el manual operativo de Obras por Impuestos, todo de conformidad con lo establecido en la evaluación de viabilidad del proyecto. Los proyectos a financiar podrán comprender las obras, servicios y erogaciones necesarias para su viabilidad, planeación, preoperación, ejecución, operación, mantenimiento e interventoría, en los términos establecidos por el manual operativo de Obras por Impuestos, según el caso. También podrán ser considerados proyectos en jurisdicciones que sin estar localizadas en las Zomac, de acuerdo con el concepto de la Agencia de Renovación del Territorio, resulten estratégicos para la reactivación económica y/o social de las Zomac o algunas de ellas.</w:t>
      </w:r>
    </w:p>
    <w:p w14:paraId="045A3B6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este fin, la Agencia de Renovación del Territorio (ART) deberá llevar actualizada una lista de iniciativas susceptibles de contar con viabilidad técnica y presupuestal para conformar el banco de proyectos a realizar en los diferentes municipios definidos como Zomac, que contribuyan a la disminución de las brechas de inequidad y la renovación territorial de estas zonas, su reactivación económica, social y su fortalecimiento institucional, y que puedan ser ejecutados con los recursos provenientes de la forma de pago que se establece en el presente artículo. El contribuyente podrá proponer iniciativas distintas a las publicadas por la Agencia de Renovación del Territorio (ART), las cuales deberán ser presentadas a esta Agencia y cumplir los requisitos necesarios para la viabilidad sectorial y aprobación del Departamento Nacional de Planeación (DNP).</w:t>
      </w:r>
    </w:p>
    <w:p w14:paraId="045A3B6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el desarrollo del presente mecanismo de pago del impuesto sobre la renta se tendrán en cuenta los siguientes aspectos y procedimientos:</w:t>
      </w:r>
    </w:p>
    <w:p w14:paraId="045A3B6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1. Manifestación de interés por parte del contribuyente. En cualquier momento, el contribuyente que pretenda optar por el mecanismo previsto en la presente disposición, podrá seleccionar de la lista </w:t>
      </w:r>
      <w:r w:rsidRPr="00F53530">
        <w:rPr>
          <w:rFonts w:ascii="Times New Roman" w:hAnsi="Times New Roman"/>
          <w:i/>
        </w:rPr>
        <w:lastRenderedPageBreak/>
        <w:t>de iniciativas o del banco de proyectos publicado por la ART, una o más iniciativas o proyectos, para lo cual deberá contar con la aprobación de su junta directiva o del órgano que haga sus veces y manifestarlo mediante escrito dirigido a la ART y a la Entidad Nacional Competente del sector del proyecto a desarrollar. En la misma manifestación deberá informar desde qué etapa de estructuración va a desarrollar el proyecto y los gastos de pre-inversión y mantenimiento, en el caso de requerirse, adjuntando una propuesta de costos de estas etapas, así como la actualización y posibles ajustes al proyecto. En los casos en que el contribuyente haya propuesto un proyecto, este tendrá prioridad para la ejecución del mismo siempre que cumpla con todos los requisitos previstos en la presente disposición, a menos que un tercero ofrezca mejores condiciones para su realización, en cuyo caso, la ART y la Entidad Nacional Competente realizarán la valoración de las propuestas e informarán los resultados a los contribuyentes.</w:t>
      </w:r>
    </w:p>
    <w:p w14:paraId="045A3B6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Estructuración de iniciativas por parte del Contribuyente. En los casos en que el contribuyente haya manifestado el interés de estructurar una iniciativa, la entidad nacional competente deberá indicar y aprobar los estudios, diseños, costos y tiempos, que debe realizar y cumplir el contribuyente para presentar la iniciativa con el lleno de requisitos necesarios para iniciar el proceso de viabilidad, evento en el cual estos costos serán incluidos en el valor total del proyecto.</w:t>
      </w:r>
    </w:p>
    <w:p w14:paraId="045A3B6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Viabilización de iniciativas. Posterior a la manifestación del interés por parte del contribuyente sobre una o más iniciativas, la Entidad Nacional Competente y el Departamento Nacional de Planeación (DNP) realizarán los trámites necesarios para emitir los conceptos de viabilidad del o los proyectos conforme con la normatividad vigente.</w:t>
      </w:r>
    </w:p>
    <w:p w14:paraId="045A3B6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4. Aprobación para la suscripción del convenio. Emitidos los conceptos de viabilidad del proyecto, la ART aprobará mediante acto administrativo la suscripción del convenio para la ejecución del proyecto, contra el cual no procederá recurso alguno.</w:t>
      </w:r>
    </w:p>
    <w:p w14:paraId="045A3B6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5. Suscripción del convenio. Posterior a la aprobación por parte de la ART, la Entidad Nacional competente procederá a la suscripción del convenio con el contribuyente, para la ejecución del proyecto. Por medio de dicho convenio, el contribuyente se comprometerá a desarrollar el proyecto a cambio de una remuneración que será pagada por medio de Títulos para la Renovación del Territorio (TRT), una vez sea entregado el proyecto a satisfacción a la entidad nacional competente. En los casos en que la ejecución del proyecto sea superior a un (1) año, el convenio podrá prever el pago contra la entrega de los hitos que se establezcan en el mismo. El convenio estará regido por el régimen aquí previsto y en su defecto por las normas de derecho privado.</w:t>
      </w:r>
    </w:p>
    <w:p w14:paraId="045A3B6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6. Reglas del Convenio. La celebración del convenio estará sujeta a las siguientes reglas:</w:t>
      </w:r>
    </w:p>
    <w:p w14:paraId="045A3B6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Interventoría. La Entidad Nacional Competente determinará los casos en los que se requiera la contratación de una interventoría sobre el bien o servicio, cuyo valor deberá estar incluido dentro del costo del proyecto, caso en el cual deberá ser seleccionada y contratada por la Entidad Nacional Competente. Los pagos de la interventoría los realizará el contratista conforme con lo pactado en el convenio de obras por impuestos.</w:t>
      </w:r>
    </w:p>
    <w:p w14:paraId="045A3B7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Supervisión. La Entidad Nacional Competente realizará la supervisión del convenio de obras por impuestos y del contrato de interventoría.</w:t>
      </w:r>
    </w:p>
    <w:p w14:paraId="045A3B7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Garantías. La Entidad Nacional Competente deberá establecer la suficiencia de las garantías para amparar como mínimo el cumplimiento del proyecto, la estabilidad de la obra o calidad y correcto funcionamiento de los bienes según corresponda.</w:t>
      </w:r>
    </w:p>
    <w:p w14:paraId="045A3B7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El contratista deberá constituir las garantías exigidas para la ejecución del proyecto, en caso de realizarlo directamente, o deberá exigirle a los terceros dichas garantías en los términos definidos en el convenio. En todo caso, las garantías constituidas deben ser aprobadas por la Entidad Nacional Competente. Tratándose de pólizas, las mismas no expirarán por falta de pago o por revocatoria unilateral y deberán ser aprobadas por la Entidad Nacional Competente al proyecto de inversión.</w:t>
      </w:r>
    </w:p>
    <w:p w14:paraId="045A3B7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d) Naturaleza de los recursos para la ejecución del proyecto. Los contribuyentes realizarán los proyectos con recursos propios, cuyo tratamiento corresponderá a la naturaleza jurídica del contribuyente.</w:t>
      </w:r>
    </w:p>
    <w:p w14:paraId="045A3B7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 Subcontratos. En caso que el contribuyente deba subcontratar con terceros para la realización del proyecto, a dichos contratos les será aplicable el régimen de contratación correspondiente a la naturaleza jurídica del contribuyente y no vincularán a las entidades públicas que suscriban el convenio principal.</w:t>
      </w:r>
    </w:p>
    <w:p w14:paraId="045A3B7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f) Condiciones del Convenio y de los subcontratos. El Convenio y los subcontratos que deba suscribir el contribuyente para la ejecución del mismo deberán ser realizados a precios de mercado. El reglamento establecerá las condiciones bajo las cuales se dará cumplimiento a la presente disposición, así como los casos que exijan la contratación de una gerencia de proyecto.</w:t>
      </w:r>
    </w:p>
    <w:p w14:paraId="045A3B7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caso de que los subcontratos sean celebrados con vinculados económicos del suscriptor, el respectivo convenio señalará las condiciones bajo las cuales se garantizará la transparencia en la ejecución y la definición de los costos del proyecto.</w:t>
      </w:r>
    </w:p>
    <w:p w14:paraId="045A3B7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g) Ejecución directa por parte del contribuyente. En caso de que el mismo contribuyente desarrolle el proyecto, los bienes y servicios que incorpore serán valorados a precios de mercado, de acuerdo con lo previsto en el literal anterior.</w:t>
      </w:r>
    </w:p>
    <w:p w14:paraId="045A3B7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h) Tratamiento tributario y contable de los convenios celebrados. Los convenios celebrados de acuerdo con lo previsto en la presente disposición, tendrán el tratamiento tributario y contable que les corresponda según su naturaleza y las normas que resulten aplicables. En tal medida, los convenios se entenderán efectuados en desarrollo de la actividad productora de renta del contribuyente, quien para estos efectos no necesitará ampliar su objeto social. Sin perjuicio de lo anterior, los convenios no estarán sometidos a retención y/o autorretención en la fuente a título del impuesto sobre la renta.</w:t>
      </w:r>
    </w:p>
    <w:p w14:paraId="045A3B7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Las obras por impuestos no tendrán derecho a los beneficios establecidos en los artículos 258-1 y demás consagrados en el </w:t>
      </w:r>
      <w:r w:rsidR="00F57AE0">
        <w:rPr>
          <w:rFonts w:ascii="Times New Roman" w:hAnsi="Times New Roman"/>
          <w:i/>
        </w:rPr>
        <w:t>*</w:t>
      </w:r>
      <w:r w:rsidRPr="00F53530">
        <w:rPr>
          <w:rFonts w:ascii="Times New Roman" w:hAnsi="Times New Roman"/>
          <w:i/>
        </w:rPr>
        <w:t>Estatuto Tributario.</w:t>
      </w:r>
    </w:p>
    <w:p w14:paraId="045A3B7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i. Modificaciones y adiciones. Cualquier ajuste en el proyecto que implique la modificación del convenio de obras por impuestos, deberá ser aprobado por la Entidad Nacional Competente previo visto bueno de la Agencia de Renovación del Territorio (ART) y el Departamento Nacional de Planeación (DNP). El convenio preverá, además, los efectos de los eventos eximentes de responsabilidad, así como la matriz de riesgos del convenio.</w:t>
      </w:r>
    </w:p>
    <w:p w14:paraId="045A3B7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convenio desarrollará los efectos de los eximentes de responsabilidad de fuerza mayor y caso fortuito. El Gobierno nacional establecerá el procedimiento para su declaratoria.</w:t>
      </w:r>
    </w:p>
    <w:p w14:paraId="045A3B7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j) Cesiones. Los convenios de obras por impuestos podrán ser cedidos previa la aprobación de la Entidad Nacional Competente.</w:t>
      </w:r>
    </w:p>
    <w:p w14:paraId="045A3B7D" w14:textId="74AE1732"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 xml:space="preserve">k) Incumplimiento. En el convenio se pactarán las multas y sanciones aplicables por el incumplimiento del contratista. Para su imposición, la Entidad Nacional Competente del proyecto de inversión, deberá aplicar el procedimiento establecido en el artículo 86 de la </w:t>
      </w:r>
      <w:hyperlink r:id="rId63" w:history="1">
        <w:r w:rsidRPr="00A41A74">
          <w:rPr>
            <w:rStyle w:val="Hipervnculo"/>
            <w:rFonts w:ascii="Times New Roman" w:hAnsi="Times New Roman"/>
            <w:i/>
          </w:rPr>
          <w:t>Ley 1474 de 2011</w:t>
        </w:r>
      </w:hyperlink>
      <w:r w:rsidRPr="00F53530">
        <w:rPr>
          <w:rFonts w:ascii="Times New Roman" w:hAnsi="Times New Roman"/>
          <w:i/>
        </w:rPr>
        <w:t xml:space="preserve"> o la que la modifique o sustituya.</w:t>
      </w:r>
    </w:p>
    <w:p w14:paraId="045A3B7E" w14:textId="7A1BB46E"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l) Régimen jurídico aplicable y solución de controversias contractuales. Los convenios celebrados de conformidad con la presente disposición se regirán por las normas de derecho privado. En los convenios podrán incluirse cláusulas compromisorias que se regirán por lo establecido en la </w:t>
      </w:r>
      <w:hyperlink r:id="rId64" w:history="1">
        <w:r w:rsidRPr="00875677">
          <w:rPr>
            <w:rStyle w:val="Hipervnculo"/>
            <w:rFonts w:ascii="Times New Roman" w:hAnsi="Times New Roman"/>
            <w:i/>
          </w:rPr>
          <w:t>Ley 1563 de 2012</w:t>
        </w:r>
      </w:hyperlink>
      <w:r w:rsidRPr="00F53530">
        <w:rPr>
          <w:rFonts w:ascii="Times New Roman" w:hAnsi="Times New Roman"/>
          <w:i/>
        </w:rPr>
        <w:t xml:space="preserve"> o la que la modifique o sustituya.</w:t>
      </w:r>
    </w:p>
    <w:p w14:paraId="045A3B7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m) Publicidad. En un sitio notoriamente visible para el público ubicado en las inmediaciones del proyecto respectivo, el contribuyente deberá colocar una valla publicitaria en la cual informe al público el proyecto que le ha sido asignado, el nombre del ejecutor y de sus beneficiarios efectivos, el tiempo de ejecución y la página web donde se encuentren los detalles del proyecto. La valla deberá mantenerse aún en caso de incumplimiento, durante el tiempo de ejecución del proyecto según el caso y el tiempo adicional que se indique en el convenio.</w:t>
      </w:r>
    </w:p>
    <w:p w14:paraId="045A3B8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n) Títulos para la Renovación del Territorio (TRT). Autorícese al Ministerio de Hacienda y Crédito Público para la emisión de los TRT, los cuales serán usados como contraprestación de las obligaciones derivadas de los convenios de obras por impuestos. Dichos títulos tendrán la calidad de negociables. El Gobierno nacional reglamentará las condiciones de los TRT y los requisitos para su emisión.</w:t>
      </w:r>
    </w:p>
    <w:p w14:paraId="045A3B8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TRT una vez utilizados, computarán dentro de las metas de recaudo de la Dirección de Impuestos y Aduanas Nacionales (DIAN). Estos títulos, podrán ser utilizados por su tenedor para pagar hasta el 50% del impuesto sobre la renta y complementarios.</w:t>
      </w:r>
    </w:p>
    <w:p w14:paraId="045A3B82" w14:textId="77777777" w:rsidR="00040448" w:rsidRPr="00F53530" w:rsidRDefault="00280B8A" w:rsidP="00C44821">
      <w:pPr>
        <w:spacing w:before="240" w:after="240" w:line="240" w:lineRule="auto"/>
        <w:jc w:val="both"/>
        <w:rPr>
          <w:rFonts w:ascii="Times New Roman" w:hAnsi="Times New Roman"/>
          <w:i/>
        </w:rPr>
      </w:pPr>
      <w:r w:rsidRPr="00AF189A">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Las personas jurídicas que tengan deudas por concepto del impuesto sobre la renta, podrán asumir el pago de las mismas a través de los TRT.</w:t>
      </w:r>
    </w:p>
    <w:p w14:paraId="045A3B83" w14:textId="77777777" w:rsidR="00040448" w:rsidRPr="00F53530" w:rsidRDefault="00280B8A" w:rsidP="00C44821">
      <w:pPr>
        <w:spacing w:before="240" w:after="240" w:line="240" w:lineRule="auto"/>
        <w:jc w:val="both"/>
        <w:rPr>
          <w:rFonts w:ascii="Times New Roman" w:hAnsi="Times New Roman"/>
          <w:i/>
        </w:rPr>
      </w:pPr>
      <w:r w:rsidRPr="00AF189A">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El mecanismo previsto en el presente artículo podrá ser usado de manera conjunta por varios contribuyentes para la realización de un mismo proyecto.</w:t>
      </w:r>
    </w:p>
    <w:p w14:paraId="045A3B84" w14:textId="77777777" w:rsidR="00040448" w:rsidRPr="00F53530" w:rsidRDefault="00280B8A" w:rsidP="00C44821">
      <w:pPr>
        <w:spacing w:before="240" w:after="240" w:line="240" w:lineRule="auto"/>
        <w:jc w:val="both"/>
        <w:rPr>
          <w:rFonts w:ascii="Times New Roman" w:hAnsi="Times New Roman"/>
          <w:i/>
        </w:rPr>
      </w:pPr>
      <w:r w:rsidRPr="00AF189A">
        <w:rPr>
          <w:rFonts w:ascii="Times New Roman" w:hAnsi="Times New Roman"/>
          <w:b/>
          <w:bCs/>
          <w:i/>
        </w:rPr>
        <w:t>PARÁGRAFO 3.</w:t>
      </w:r>
      <w:r w:rsidRPr="00F53530">
        <w:rPr>
          <w:rFonts w:ascii="Times New Roman" w:hAnsi="Times New Roman"/>
          <w:i/>
        </w:rPr>
        <w:t xml:space="preserve"> </w:t>
      </w:r>
      <w:r w:rsidR="00040448" w:rsidRPr="00F53530">
        <w:rPr>
          <w:rFonts w:ascii="Times New Roman" w:hAnsi="Times New Roman"/>
          <w:i/>
        </w:rPr>
        <w:t>El Consejo Superior de Política Económica y Fiscal (CONFIS) aprobará el cupo máximo de aprobación de proyectos, a cargo de los cuales se podrán celebrar los convenios establecidos en la presente regulación.</w:t>
      </w:r>
    </w:p>
    <w:p w14:paraId="045A3B85" w14:textId="77777777" w:rsidR="00040448" w:rsidRPr="00F53530" w:rsidRDefault="00280B8A" w:rsidP="00C44821">
      <w:pPr>
        <w:spacing w:before="240" w:after="240" w:line="240" w:lineRule="auto"/>
        <w:jc w:val="both"/>
        <w:rPr>
          <w:rFonts w:ascii="Times New Roman" w:hAnsi="Times New Roman"/>
          <w:i/>
        </w:rPr>
      </w:pPr>
      <w:r w:rsidRPr="00AF189A">
        <w:rPr>
          <w:rFonts w:ascii="Times New Roman" w:hAnsi="Times New Roman"/>
          <w:b/>
          <w:bCs/>
          <w:i/>
        </w:rPr>
        <w:t>PARÁGRAFO 4.</w:t>
      </w:r>
      <w:r w:rsidRPr="00F53530">
        <w:rPr>
          <w:rFonts w:ascii="Times New Roman" w:hAnsi="Times New Roman"/>
          <w:i/>
        </w:rPr>
        <w:t xml:space="preserve"> </w:t>
      </w:r>
      <w:r w:rsidR="00040448" w:rsidRPr="00F53530">
        <w:rPr>
          <w:rFonts w:ascii="Times New Roman" w:hAnsi="Times New Roman"/>
          <w:i/>
        </w:rPr>
        <w:t>Los contribuyentes no podrán realizar proyectos a los que se refiere la presente disposición, que correspondan a los que deban ejecutar en virtud de mandato legal, acto administrativo o decisión judicial. Adicional a lo anterior, las empresas dedicadas a la exploración y explotación de minerales e hidrocarburos, y las calificadas como grandes contribuyentes dedicadas a la actividad portuaria, no podrán desarrollar proyectos de infraestructura física que tengan relación de causalidad con su actividad generadora de renta.</w:t>
      </w:r>
    </w:p>
    <w:p w14:paraId="045A3B86" w14:textId="77777777" w:rsidR="00040448" w:rsidRPr="00F53530" w:rsidRDefault="00280B8A" w:rsidP="00C44821">
      <w:pPr>
        <w:spacing w:before="240" w:after="240" w:line="240" w:lineRule="auto"/>
        <w:jc w:val="both"/>
        <w:rPr>
          <w:rFonts w:ascii="Times New Roman" w:hAnsi="Times New Roman"/>
          <w:i/>
        </w:rPr>
      </w:pPr>
      <w:r w:rsidRPr="00AF189A">
        <w:rPr>
          <w:rFonts w:ascii="Times New Roman" w:hAnsi="Times New Roman"/>
          <w:b/>
          <w:bCs/>
          <w:i/>
        </w:rPr>
        <w:t>PARÁGRAFO 5.</w:t>
      </w:r>
      <w:r w:rsidR="00A03C6F" w:rsidRPr="00F53530">
        <w:rPr>
          <w:rFonts w:ascii="Times New Roman" w:hAnsi="Times New Roman"/>
          <w:i/>
        </w:rPr>
        <w:t xml:space="preserve"> </w:t>
      </w:r>
      <w:r w:rsidR="00040448" w:rsidRPr="00F53530">
        <w:rPr>
          <w:rFonts w:ascii="Times New Roman" w:hAnsi="Times New Roman"/>
          <w:i/>
        </w:rPr>
        <w:t>La presente disposición será reglamentada, en su integridad, en un término de 6 meses contados a partir de la vigencia de la presente ley.</w:t>
      </w:r>
    </w:p>
    <w:p w14:paraId="045A3B87" w14:textId="01263F83" w:rsidR="00040448" w:rsidRDefault="00280B8A" w:rsidP="00C44821">
      <w:pPr>
        <w:spacing w:before="240" w:after="240" w:line="240" w:lineRule="auto"/>
        <w:jc w:val="both"/>
        <w:rPr>
          <w:rFonts w:ascii="Times New Roman" w:hAnsi="Times New Roman"/>
          <w:i/>
        </w:rPr>
      </w:pPr>
      <w:r w:rsidRPr="00AF189A">
        <w:rPr>
          <w:rFonts w:ascii="Times New Roman" w:hAnsi="Times New Roman"/>
          <w:b/>
          <w:bCs/>
          <w:i/>
        </w:rPr>
        <w:t>PARÁGRAFO 6.</w:t>
      </w:r>
      <w:r w:rsidRPr="00F53530">
        <w:rPr>
          <w:rFonts w:ascii="Times New Roman" w:hAnsi="Times New Roman"/>
          <w:i/>
        </w:rPr>
        <w:t xml:space="preserve"> </w:t>
      </w:r>
      <w:r w:rsidR="00040448" w:rsidRPr="00F53530">
        <w:rPr>
          <w:rFonts w:ascii="Times New Roman" w:hAnsi="Times New Roman"/>
          <w:i/>
        </w:rPr>
        <w:t xml:space="preserve">La referencia al mecanismo de obras por impuestos realizada por el artículo 285 de la </w:t>
      </w:r>
      <w:hyperlink r:id="rId65" w:history="1">
        <w:r w:rsidR="00040448" w:rsidRPr="00875677">
          <w:rPr>
            <w:rStyle w:val="Hipervnculo"/>
            <w:rFonts w:ascii="Times New Roman" w:hAnsi="Times New Roman"/>
            <w:i/>
          </w:rPr>
          <w:t>Ley 1955 de 2019</w:t>
        </w:r>
      </w:hyperlink>
      <w:r w:rsidR="00040448" w:rsidRPr="00F53530">
        <w:rPr>
          <w:rFonts w:ascii="Times New Roman" w:hAnsi="Times New Roman"/>
          <w:i/>
        </w:rPr>
        <w:t xml:space="preserve"> entiéndase hecha a este artículo.</w:t>
      </w:r>
    </w:p>
    <w:p w14:paraId="045A3B88" w14:textId="77777777" w:rsidR="00C56EC8" w:rsidRDefault="00C56EC8" w:rsidP="00C44821">
      <w:pPr>
        <w:spacing w:before="240" w:after="240" w:line="240" w:lineRule="auto"/>
        <w:jc w:val="both"/>
        <w:rPr>
          <w:rFonts w:ascii="Times New Roman" w:hAnsi="Times New Roman"/>
          <w:b/>
          <w:bCs/>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89" w14:textId="6752258C" w:rsidR="00040448" w:rsidRPr="00F53530" w:rsidRDefault="00040448" w:rsidP="00C44821">
      <w:pPr>
        <w:spacing w:before="240" w:after="240" w:line="240" w:lineRule="auto"/>
        <w:jc w:val="both"/>
        <w:rPr>
          <w:rFonts w:ascii="Times New Roman" w:hAnsi="Times New Roman"/>
        </w:rPr>
      </w:pPr>
      <w:r w:rsidRPr="008B5DE2">
        <w:rPr>
          <w:rFonts w:ascii="Times New Roman" w:hAnsi="Times New Roman"/>
          <w:b/>
          <w:bCs/>
        </w:rPr>
        <w:t>ARTÍCULO 80.</w:t>
      </w:r>
      <w:r w:rsidR="008B5DE2">
        <w:rPr>
          <w:rFonts w:ascii="Times New Roman" w:hAnsi="Times New Roman"/>
          <w:b/>
          <w:bCs/>
        </w:rPr>
        <w:t xml:space="preserve"> </w:t>
      </w:r>
      <w:r w:rsidRPr="00F53530">
        <w:rPr>
          <w:rFonts w:ascii="Times New Roman" w:hAnsi="Times New Roman"/>
        </w:rPr>
        <w:t xml:space="preserve">Los proyectos que tengan como objetivo desarrollar medidas de manejo ambiental y de desarrollo sostenible que complementen el macro proyecto del Canal del Dique, podrán ser por objeto del mecanismo de obras por impuestos al que se refieren los artículos 238 de la </w:t>
      </w:r>
      <w:hyperlink r:id="rId66" w:history="1">
        <w:r w:rsidRPr="00AB67B9">
          <w:rPr>
            <w:rStyle w:val="Hipervnculo"/>
            <w:rFonts w:ascii="Times New Roman" w:hAnsi="Times New Roman"/>
          </w:rPr>
          <w:t>Ley 1819 de 2016</w:t>
        </w:r>
      </w:hyperlink>
      <w:r w:rsidRPr="00F53530">
        <w:rPr>
          <w:rFonts w:ascii="Times New Roman" w:hAnsi="Times New Roman"/>
        </w:rPr>
        <w:t xml:space="preserve"> y 800-1 del </w:t>
      </w:r>
      <w:r w:rsidR="003168E2">
        <w:rPr>
          <w:rFonts w:ascii="Times New Roman" w:hAnsi="Times New Roman"/>
        </w:rPr>
        <w:t>*</w:t>
      </w:r>
      <w:r w:rsidRPr="00F53530">
        <w:rPr>
          <w:rFonts w:ascii="Times New Roman" w:hAnsi="Times New Roman"/>
        </w:rPr>
        <w:t>Estatuto Tributario condicionados a la expedición del cupo adicional por parte del Consejo Superior de la Política Económica y Fiscal (CONFIS).</w:t>
      </w:r>
    </w:p>
    <w:p w14:paraId="045A3B8A" w14:textId="77777777" w:rsidR="00040448" w:rsidRDefault="00040448" w:rsidP="00C44821">
      <w:pPr>
        <w:spacing w:before="240" w:after="240" w:line="240" w:lineRule="auto"/>
        <w:jc w:val="both"/>
        <w:rPr>
          <w:rFonts w:ascii="Times New Roman" w:hAnsi="Times New Roman"/>
        </w:rPr>
      </w:pPr>
      <w:r w:rsidRPr="00F53530">
        <w:rPr>
          <w:rFonts w:ascii="Times New Roman" w:hAnsi="Times New Roman"/>
        </w:rPr>
        <w:t>Los recursos destinados para el macro proyecto del canal de Dique, en ningún caso afectarán los recursos asignados a la Bolsa Paz.</w:t>
      </w:r>
    </w:p>
    <w:p w14:paraId="045A3B8B" w14:textId="77777777" w:rsidR="003168E2" w:rsidRPr="00F53530" w:rsidRDefault="003168E2"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8C" w14:textId="641FF96C" w:rsidR="00040448" w:rsidRPr="00F53530" w:rsidRDefault="00040448" w:rsidP="00C44821">
      <w:pPr>
        <w:spacing w:before="240" w:after="240" w:line="240" w:lineRule="auto"/>
        <w:jc w:val="both"/>
        <w:rPr>
          <w:rFonts w:ascii="Times New Roman" w:hAnsi="Times New Roman"/>
        </w:rPr>
      </w:pPr>
      <w:r w:rsidRPr="008B5DE2">
        <w:rPr>
          <w:rFonts w:ascii="Times New Roman" w:hAnsi="Times New Roman"/>
          <w:b/>
          <w:bCs/>
        </w:rPr>
        <w:t>ARTÍCULO 81.</w:t>
      </w:r>
      <w:r w:rsidR="008B5DE2">
        <w:rPr>
          <w:rFonts w:ascii="Times New Roman" w:hAnsi="Times New Roman"/>
          <w:b/>
          <w:bCs/>
        </w:rPr>
        <w:t xml:space="preserve"> </w:t>
      </w:r>
      <w:r w:rsidRPr="00F53530">
        <w:rPr>
          <w:rFonts w:ascii="Times New Roman" w:hAnsi="Times New Roman"/>
        </w:rPr>
        <w:t xml:space="preserve">Los proyectos que tengan como objetivo desarrollar medidas de manejo ambiental y desarrollo sostenible que contemplen La Mojana y Buenaventura, podrán ser objeto del mecanismo de obras por impuesto al que se refieren los artículos 238 de la </w:t>
      </w:r>
      <w:hyperlink r:id="rId67" w:history="1">
        <w:r w:rsidRPr="00AB67B9">
          <w:rPr>
            <w:rStyle w:val="Hipervnculo"/>
            <w:rFonts w:ascii="Times New Roman" w:hAnsi="Times New Roman"/>
          </w:rPr>
          <w:t>Ley 1819 de 2016</w:t>
        </w:r>
      </w:hyperlink>
      <w:r w:rsidRPr="00F53530">
        <w:rPr>
          <w:rFonts w:ascii="Times New Roman" w:hAnsi="Times New Roman"/>
        </w:rPr>
        <w:t xml:space="preserve"> y 800-1 del </w:t>
      </w:r>
      <w:r w:rsidR="003168E2">
        <w:rPr>
          <w:rFonts w:ascii="Times New Roman" w:hAnsi="Times New Roman"/>
        </w:rPr>
        <w:t>*</w:t>
      </w:r>
      <w:r w:rsidRPr="00F53530">
        <w:rPr>
          <w:rFonts w:ascii="Times New Roman" w:hAnsi="Times New Roman"/>
        </w:rPr>
        <w:t>Estatuto Tributario, condicionados a la expedición del cupo adicional por parte del CONFIS.</w:t>
      </w:r>
    </w:p>
    <w:p w14:paraId="045A3B8D" w14:textId="77777777" w:rsidR="00040448" w:rsidRDefault="00040448" w:rsidP="00C44821">
      <w:pPr>
        <w:spacing w:before="240" w:after="240" w:line="240" w:lineRule="auto"/>
        <w:jc w:val="both"/>
        <w:rPr>
          <w:rFonts w:ascii="Times New Roman" w:hAnsi="Times New Roman"/>
        </w:rPr>
      </w:pPr>
      <w:r w:rsidRPr="00F53530">
        <w:rPr>
          <w:rFonts w:ascii="Times New Roman" w:hAnsi="Times New Roman"/>
        </w:rPr>
        <w:t>Los recursos de estos proyectos no afectarán los recursos asignados a la Bolsa Paz.</w:t>
      </w:r>
    </w:p>
    <w:p w14:paraId="045A3B8E" w14:textId="77777777" w:rsidR="003168E2" w:rsidRPr="00F53530" w:rsidRDefault="003168E2"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8F" w14:textId="77777777" w:rsidR="00F53530" w:rsidRDefault="00040448" w:rsidP="00C44821">
      <w:pPr>
        <w:pStyle w:val="Ttulo2"/>
      </w:pPr>
      <w:r w:rsidRPr="00F53530">
        <w:t>CAPÍTULO V</w:t>
      </w:r>
      <w:r w:rsidR="008B5DE2">
        <w:br/>
      </w:r>
      <w:r w:rsidRPr="00F53530">
        <w:t>IMPUESTO SOBRE LA RENTA</w:t>
      </w:r>
    </w:p>
    <w:p w14:paraId="045A3B90" w14:textId="77777777" w:rsidR="00040448" w:rsidRPr="00F53530" w:rsidRDefault="00040448" w:rsidP="00C44821">
      <w:pPr>
        <w:spacing w:before="240" w:after="240" w:line="240" w:lineRule="auto"/>
        <w:jc w:val="both"/>
        <w:rPr>
          <w:rFonts w:ascii="Times New Roman" w:hAnsi="Times New Roman"/>
        </w:rPr>
      </w:pPr>
      <w:r w:rsidRPr="008B5DE2">
        <w:rPr>
          <w:rFonts w:ascii="Times New Roman" w:hAnsi="Times New Roman"/>
          <w:b/>
          <w:bCs/>
        </w:rPr>
        <w:t>ARTÍCULO 82.</w:t>
      </w:r>
      <w:r w:rsidR="008B5DE2" w:rsidRPr="008B5DE2">
        <w:rPr>
          <w:rFonts w:ascii="Times New Roman" w:hAnsi="Times New Roman"/>
          <w:b/>
          <w:bCs/>
        </w:rPr>
        <w:t xml:space="preserve"> </w:t>
      </w:r>
      <w:r w:rsidRPr="00F53530">
        <w:rPr>
          <w:rFonts w:ascii="Times New Roman" w:hAnsi="Times New Roman"/>
        </w:rPr>
        <w:t xml:space="preserve">Modifíquese el numeral 3, adiciónense el literal f) y los parágrafos 3, 4 y 5 al artículo 18-1 al </w:t>
      </w:r>
      <w:r w:rsidR="003168E2">
        <w:rPr>
          <w:rFonts w:ascii="Times New Roman" w:hAnsi="Times New Roman"/>
        </w:rPr>
        <w:t>*</w:t>
      </w:r>
      <w:r w:rsidRPr="00F53530">
        <w:rPr>
          <w:rFonts w:ascii="Times New Roman" w:hAnsi="Times New Roman"/>
        </w:rPr>
        <w:t>Estatuto Tributario, los cuales quedarán así:</w:t>
      </w:r>
    </w:p>
    <w:p w14:paraId="045A3B9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Cualquier otra entidad distinta de las señaladas en el anterior numeral que realice pagos, directa o indirectamente, a los inversionistas de capital del exterior de portafolio, se abstendrá de efectuar la retención en la fuente que correspondería practicar de conformidad con las normas generales previstas en este Estatuto.</w:t>
      </w:r>
    </w:p>
    <w:p w14:paraId="045A3B9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Cuando los ingresos correspondan a dividendos determinados de conformidad con el numeral tercero del artículo 49 del </w:t>
      </w:r>
      <w:r w:rsidR="003168E2">
        <w:rPr>
          <w:rFonts w:ascii="Times New Roman" w:hAnsi="Times New Roman"/>
          <w:i/>
        </w:rPr>
        <w:t>*</w:t>
      </w:r>
      <w:r w:rsidRPr="00F53530">
        <w:rPr>
          <w:rFonts w:ascii="Times New Roman" w:hAnsi="Times New Roman"/>
          <w:i/>
        </w:rPr>
        <w:t>Estatuto Tributario, la retención en la fuente será practicada por la sociedad pagadora del dividendo al momento del pago o abono en cuenta, en cuyo caso la tarifa aplicable corresponderá a la establecida en el inciso primero del artículo 245 del mismo Estatuto.</w:t>
      </w:r>
    </w:p>
    <w:p w14:paraId="045A3B9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Cuando los ingresos correspondan a dividendos gravados de conformidad con lo establecido en el parágrafo 2 del artículo 49 del </w:t>
      </w:r>
      <w:r w:rsidR="003168E2">
        <w:rPr>
          <w:rFonts w:ascii="Times New Roman" w:hAnsi="Times New Roman"/>
          <w:i/>
        </w:rPr>
        <w:t>*</w:t>
      </w:r>
      <w:r w:rsidRPr="00F53530">
        <w:rPr>
          <w:rFonts w:ascii="Times New Roman" w:hAnsi="Times New Roman"/>
          <w:i/>
        </w:rPr>
        <w:t>Estatuto Tributario, la retención en la fuente será practicada por la sociedad pagadora del dividendo al momento del pago o abono en cuenta, en cuyo caso la tarifa de retención será del veinticinco por ciento (25%), y sobre el remanente se aplicará lo dispuesto en el inciso anterior de este numeral.</w:t>
      </w:r>
    </w:p>
    <w:p w14:paraId="045A3B9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f) Cuando se trate de valores de renta fija pública o privada, o derivados financieros con subyacente en valores de renta fija, la tarifa de retención en la fuente será del cinco por ciento (5%).</w:t>
      </w:r>
    </w:p>
    <w:p w14:paraId="045A3B95" w14:textId="77777777" w:rsidR="00040448" w:rsidRPr="00F53530" w:rsidRDefault="00280B8A" w:rsidP="00C44821">
      <w:pPr>
        <w:spacing w:before="240" w:after="240" w:line="240" w:lineRule="auto"/>
        <w:jc w:val="both"/>
        <w:rPr>
          <w:rFonts w:ascii="Times New Roman" w:hAnsi="Times New Roman"/>
          <w:i/>
        </w:rPr>
      </w:pPr>
      <w:r w:rsidRPr="00D85557">
        <w:rPr>
          <w:rFonts w:ascii="Times New Roman" w:hAnsi="Times New Roman"/>
          <w:b/>
          <w:bCs/>
          <w:i/>
        </w:rPr>
        <w:lastRenderedPageBreak/>
        <w:t>PARÁGRAFO 3</w:t>
      </w:r>
      <w:r w:rsidRPr="00F53530">
        <w:rPr>
          <w:rFonts w:ascii="Times New Roman" w:hAnsi="Times New Roman"/>
          <w:i/>
        </w:rPr>
        <w:t xml:space="preserve">. </w:t>
      </w:r>
      <w:r w:rsidR="00040448" w:rsidRPr="00F53530">
        <w:rPr>
          <w:rFonts w:ascii="Times New Roman" w:hAnsi="Times New Roman"/>
          <w:i/>
        </w:rPr>
        <w:t>El administrador de las inversiones de portafolio estará obligado a entregar a las autoridades de impuestos, cuando sea requerido, información sobre el beneficiario final de las inversiones.</w:t>
      </w:r>
    </w:p>
    <w:p w14:paraId="045A3B96" w14:textId="77777777" w:rsidR="00040448" w:rsidRPr="00F53530" w:rsidRDefault="00280B8A" w:rsidP="00C44821">
      <w:pPr>
        <w:spacing w:before="240" w:after="240" w:line="240" w:lineRule="auto"/>
        <w:jc w:val="both"/>
        <w:rPr>
          <w:rFonts w:ascii="Times New Roman" w:hAnsi="Times New Roman"/>
          <w:i/>
        </w:rPr>
      </w:pPr>
      <w:r w:rsidRPr="00D85557">
        <w:rPr>
          <w:rFonts w:ascii="Times New Roman" w:hAnsi="Times New Roman"/>
          <w:b/>
          <w:bCs/>
          <w:i/>
        </w:rPr>
        <w:t>PARÁGRAFO 4.</w:t>
      </w:r>
      <w:r w:rsidR="00A03C6F" w:rsidRPr="00F53530">
        <w:rPr>
          <w:rFonts w:ascii="Times New Roman" w:hAnsi="Times New Roman"/>
          <w:i/>
        </w:rPr>
        <w:t xml:space="preserve"> </w:t>
      </w:r>
      <w:r w:rsidR="00040448" w:rsidRPr="00F53530">
        <w:rPr>
          <w:rFonts w:ascii="Times New Roman" w:hAnsi="Times New Roman"/>
          <w:i/>
        </w:rPr>
        <w:t>Las normas de este artículo no son aplicables a las inversiones provenientes del exterior, que tengan como beneficiario final un residente fiscal en Colombia que tenga control sobre dichas inversiones.</w:t>
      </w:r>
    </w:p>
    <w:p w14:paraId="045A3B97" w14:textId="77777777" w:rsidR="00040448" w:rsidRDefault="00280B8A" w:rsidP="00C44821">
      <w:pPr>
        <w:spacing w:before="240" w:after="240" w:line="240" w:lineRule="auto"/>
        <w:jc w:val="both"/>
        <w:rPr>
          <w:rFonts w:ascii="Times New Roman" w:hAnsi="Times New Roman"/>
          <w:i/>
        </w:rPr>
      </w:pPr>
      <w:r w:rsidRPr="00D85557">
        <w:rPr>
          <w:rFonts w:ascii="Times New Roman" w:hAnsi="Times New Roman"/>
          <w:b/>
          <w:bCs/>
          <w:i/>
        </w:rPr>
        <w:t>PARÁGRAFO 5.</w:t>
      </w:r>
      <w:r w:rsidR="00A03C6F" w:rsidRPr="00F53530">
        <w:rPr>
          <w:rFonts w:ascii="Times New Roman" w:hAnsi="Times New Roman"/>
          <w:i/>
        </w:rPr>
        <w:t xml:space="preserve"> </w:t>
      </w:r>
      <w:r w:rsidR="00040448" w:rsidRPr="00F53530">
        <w:rPr>
          <w:rFonts w:ascii="Times New Roman" w:hAnsi="Times New Roman"/>
          <w:i/>
        </w:rPr>
        <w:t xml:space="preserve">Se entiende que un residente fiscal en Colombia controla las entidades de inversión del exterior cuando se cumple alguno de los criterios de vinculación señalados en el artículo 260-1 del </w:t>
      </w:r>
      <w:r w:rsidR="003168E2">
        <w:rPr>
          <w:rFonts w:ascii="Times New Roman" w:hAnsi="Times New Roman"/>
          <w:i/>
        </w:rPr>
        <w:t>*</w:t>
      </w:r>
      <w:r w:rsidR="00040448" w:rsidRPr="00F53530">
        <w:rPr>
          <w:rFonts w:ascii="Times New Roman" w:hAnsi="Times New Roman"/>
          <w:i/>
        </w:rPr>
        <w:t>Estatuto Tributario.</w:t>
      </w:r>
    </w:p>
    <w:p w14:paraId="045A3B98" w14:textId="77777777" w:rsidR="003168E2" w:rsidRPr="00F53530" w:rsidRDefault="003168E2"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99" w14:textId="77777777" w:rsidR="00040448" w:rsidRPr="00F53530" w:rsidRDefault="00040448" w:rsidP="00C44821">
      <w:pPr>
        <w:spacing w:before="240" w:after="240" w:line="240" w:lineRule="auto"/>
        <w:jc w:val="both"/>
        <w:rPr>
          <w:rFonts w:ascii="Times New Roman" w:hAnsi="Times New Roman"/>
        </w:rPr>
      </w:pPr>
      <w:r w:rsidRPr="009503FB">
        <w:rPr>
          <w:rFonts w:ascii="Times New Roman" w:hAnsi="Times New Roman"/>
          <w:b/>
          <w:bCs/>
        </w:rPr>
        <w:t>ARTÍCULO 83.</w:t>
      </w:r>
      <w:r w:rsidR="009503FB">
        <w:rPr>
          <w:rFonts w:ascii="Times New Roman" w:hAnsi="Times New Roman"/>
          <w:b/>
          <w:bCs/>
        </w:rPr>
        <w:t xml:space="preserve"> </w:t>
      </w:r>
      <w:r w:rsidRPr="00F53530">
        <w:rPr>
          <w:rFonts w:ascii="Times New Roman" w:hAnsi="Times New Roman"/>
        </w:rPr>
        <w:t xml:space="preserve">Modifíquese el artículo 22 del </w:t>
      </w:r>
      <w:r w:rsidR="00EC6252">
        <w:rPr>
          <w:rFonts w:ascii="Times New Roman" w:hAnsi="Times New Roman"/>
        </w:rPr>
        <w:t>*</w:t>
      </w:r>
      <w:r w:rsidRPr="00F53530">
        <w:rPr>
          <w:rFonts w:ascii="Times New Roman" w:hAnsi="Times New Roman"/>
        </w:rPr>
        <w:t>Estatuto Tributario que quedará así:</w:t>
      </w:r>
    </w:p>
    <w:p w14:paraId="045A3B9A" w14:textId="77777777" w:rsidR="00040448" w:rsidRPr="00F53530" w:rsidRDefault="00040448" w:rsidP="00C44821">
      <w:pPr>
        <w:spacing w:before="240" w:after="240" w:line="240" w:lineRule="auto"/>
        <w:jc w:val="both"/>
        <w:rPr>
          <w:rFonts w:ascii="Times New Roman" w:hAnsi="Times New Roman"/>
          <w:i/>
        </w:rPr>
      </w:pPr>
      <w:r w:rsidRPr="00D85557">
        <w:rPr>
          <w:rFonts w:ascii="Times New Roman" w:hAnsi="Times New Roman"/>
          <w:b/>
          <w:bCs/>
          <w:i/>
        </w:rPr>
        <w:t>Artículo 22</w:t>
      </w:r>
      <w:r w:rsidR="00280B8A" w:rsidRPr="00D85557">
        <w:rPr>
          <w:rFonts w:ascii="Times New Roman" w:hAnsi="Times New Roman"/>
          <w:b/>
          <w:bCs/>
          <w:i/>
        </w:rPr>
        <w:t>.</w:t>
      </w:r>
      <w:r w:rsidRPr="00D85557">
        <w:rPr>
          <w:rFonts w:ascii="Times New Roman" w:hAnsi="Times New Roman"/>
          <w:b/>
          <w:bCs/>
          <w:i/>
        </w:rPr>
        <w:t xml:space="preserve"> Entidades que no son contribuyentes.</w:t>
      </w:r>
      <w:r w:rsidRPr="00F53530">
        <w:rPr>
          <w:rFonts w:ascii="Times New Roman" w:hAnsi="Times New Roman"/>
          <w:i/>
        </w:rPr>
        <w:t xml:space="preserve"> No son contribuyentes del impuesto sobre la renta y complementarios y no deberán cumplir el deber formal de presentar declaración de ingresos y patrimonio, de acuerdo con el artículo 598 del presente Estatuto, la Nación, las entidades territoriales, las Corporaciones Autónomas Regionales y de Desarrollo Sostenible, las áreas metropolitanas, la Sociedad Nacional de la Cruz Roja Colombiana y su sistema federado, las superintendencias y las unidades administrativas especiales, siempre y cuando no se señalen en la ley como contribuyentes.</w:t>
      </w:r>
    </w:p>
    <w:p w14:paraId="045A3B9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Así mismo, serán no contribuyentes no declarantes las sociedades de mejoras públicas, las asociaciones de padres de familia; los organismos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este y las asociaciones de adultos mayores autorizados por el Instituto Colombiano de Bienestar Familiar.</w:t>
      </w:r>
    </w:p>
    <w:p w14:paraId="045A3B9C" w14:textId="18EA3D5A"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Tampoco serán contribuyentes ni declarantes los resguardos y cabildos indígenas, ni la propiedad colectiva de las comunidades negras conforme a la </w:t>
      </w:r>
      <w:hyperlink r:id="rId68" w:history="1">
        <w:r w:rsidRPr="0052684C">
          <w:rPr>
            <w:rStyle w:val="Hipervnculo"/>
            <w:rFonts w:ascii="Times New Roman" w:hAnsi="Times New Roman"/>
            <w:i/>
          </w:rPr>
          <w:t>Ley 70 de 1993</w:t>
        </w:r>
      </w:hyperlink>
      <w:r w:rsidRPr="00F53530">
        <w:rPr>
          <w:rFonts w:ascii="Times New Roman" w:hAnsi="Times New Roman"/>
          <w:i/>
        </w:rPr>
        <w:t>.</w:t>
      </w:r>
    </w:p>
    <w:p w14:paraId="045A3B9D" w14:textId="77777777" w:rsidR="00EC6252" w:rsidRPr="00F53530" w:rsidRDefault="00EC6252"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9E" w14:textId="77777777" w:rsidR="00040448" w:rsidRPr="00F53530" w:rsidRDefault="00040448" w:rsidP="00C44821">
      <w:pPr>
        <w:spacing w:before="240" w:after="240" w:line="240" w:lineRule="auto"/>
        <w:jc w:val="both"/>
        <w:rPr>
          <w:rFonts w:ascii="Times New Roman" w:hAnsi="Times New Roman"/>
        </w:rPr>
      </w:pPr>
      <w:r w:rsidRPr="00723518">
        <w:rPr>
          <w:rFonts w:ascii="Times New Roman" w:hAnsi="Times New Roman"/>
          <w:b/>
          <w:bCs/>
        </w:rPr>
        <w:t>ARTÍCULO 84.</w:t>
      </w:r>
      <w:r w:rsidR="00723518">
        <w:rPr>
          <w:rFonts w:ascii="Times New Roman" w:hAnsi="Times New Roman"/>
          <w:b/>
          <w:bCs/>
        </w:rPr>
        <w:t xml:space="preserve"> </w:t>
      </w:r>
      <w:r w:rsidRPr="00F53530">
        <w:rPr>
          <w:rFonts w:ascii="Times New Roman" w:hAnsi="Times New Roman"/>
        </w:rPr>
        <w:t>Modifíquese el artículo 25 del Estatuto Tributario, el cual quedará así:</w:t>
      </w:r>
    </w:p>
    <w:p w14:paraId="045A3B9F" w14:textId="77777777" w:rsidR="00040448" w:rsidRPr="00F53530" w:rsidRDefault="00040448" w:rsidP="00C44821">
      <w:pPr>
        <w:spacing w:before="240" w:after="240" w:line="240" w:lineRule="auto"/>
        <w:jc w:val="both"/>
        <w:rPr>
          <w:rFonts w:ascii="Times New Roman" w:hAnsi="Times New Roman"/>
          <w:i/>
        </w:rPr>
      </w:pPr>
      <w:r w:rsidRPr="00D85557">
        <w:rPr>
          <w:rFonts w:ascii="Times New Roman" w:hAnsi="Times New Roman"/>
          <w:b/>
          <w:bCs/>
          <w:i/>
        </w:rPr>
        <w:t>Artículo 25</w:t>
      </w:r>
      <w:r w:rsidR="00280B8A" w:rsidRPr="00D85557">
        <w:rPr>
          <w:rFonts w:ascii="Times New Roman" w:hAnsi="Times New Roman"/>
          <w:b/>
          <w:bCs/>
          <w:i/>
        </w:rPr>
        <w:t>.</w:t>
      </w:r>
      <w:r w:rsidRPr="00D85557">
        <w:rPr>
          <w:rFonts w:ascii="Times New Roman" w:hAnsi="Times New Roman"/>
          <w:b/>
          <w:bCs/>
          <w:i/>
        </w:rPr>
        <w:t xml:space="preserve"> Ingresos que no se consideran de fuente nacional.</w:t>
      </w:r>
      <w:r w:rsidRPr="00F53530">
        <w:rPr>
          <w:rFonts w:ascii="Times New Roman" w:hAnsi="Times New Roman"/>
          <w:i/>
        </w:rPr>
        <w:t xml:space="preserve"> No generan renta de fuente dentro del país:</w:t>
      </w:r>
    </w:p>
    <w:p w14:paraId="045A3BA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Los siguientes créditos obtenidos en el exterior, los cuales tampoco se entienden poseídos en Colombia:</w:t>
      </w:r>
    </w:p>
    <w:p w14:paraId="045A3BA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Los créditos a corto plazo originados en la importación de mercancías y servicios y en sobregiros o descubiertos bancarios. Para estos efectos se entiende por corto plazo, un plazo máximo de 6 meses.</w:t>
      </w:r>
    </w:p>
    <w:p w14:paraId="045A3BA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2. Los créditos destinados a la financiación o prefinanciación de exportaciones.</w:t>
      </w:r>
    </w:p>
    <w:p w14:paraId="045A3BA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Los créditos que obtengan de no residentes, denominados y/o desembolsados en moneda legal o extranjera, las corporaciones financieras, las cooperativas financieras, las compañías de financiamiento comercial, los bancos, Bancoldex, Finagro, Findeter y las sociedades mercantiles sometidas a la vigilancia de la Superintendencia de Sociedades bajo un régimen de regulación prudencial, cuyo objeto exclusivo sea la originación de créditos y cuyo endeudamiento sea destinado al desarrollo de su objeto social.</w:t>
      </w:r>
    </w:p>
    <w:p w14:paraId="045A3BA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4. Los créditos para operaciones de comercio exterior e importación de servicios, realizados por intermedio de Bancoldex, Finagro y Findeter.</w:t>
      </w:r>
    </w:p>
    <w:p w14:paraId="045A3BA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intereses sobre los créditos a que hace referencia el presente literal, no están gravados con impuesto de renta. Quienes efectúen pagos o abonos en cuenta por concepto de tales intereses, no están obligados a efectuar retención en la fuente.</w:t>
      </w:r>
    </w:p>
    <w:p w14:paraId="045A3BA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Los ingresos derivados de los servicios técnicos de reparación y mantenimiento de equipos, prestados en el exterior, no se consideran de fuente nacional; en consecuencia, quienes efectúen pagos o abonos en cuenta por este concepto no están obligados a hacer retención en la fuente.</w:t>
      </w:r>
    </w:p>
    <w:p w14:paraId="045A3BA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Los ingresos obtenidos de la enajenación de mercancías extranjeras de propiedad de sociedades extranjeras o personas sin residencia en el país, que se hayan introducido desde el exterior a Centros de Distribución de Logística Internacional, ubicados en aeropuertos internacionales, puertos marítimos y los fluviales ubicados únicamente en los departamentos de Guainía, Vaupés, Putumayo y Amazonas habilitados por la Dirección de Impuestos y Aduanas Nacionales. Si las sociedades extranjeras o personas sin residencia en el país, propietarias de dichas mercancías, tienen algún tipo de vinculación económica en el país, es requisito esencial para que proceda el tratamiento previsto en este artículo, que sus vinculados económicos o partes relacionadas en el país no obtengan beneficio alguno asociado a la enajenación de las mercancías. El Gobierno nacional reglamentará la materia.</w:t>
      </w:r>
    </w:p>
    <w:p w14:paraId="045A3BA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d) Para las empresas residentes fiscales colombianas, se consideran ingresos de fuente extranjera aquellos provenientes del transporte aéreo o marítimo internacional.</w:t>
      </w:r>
    </w:p>
    <w:p w14:paraId="045A3BA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 Los dividendos distribuidos por sociedades pertenecientes al régimen CHC a personas no residentes, siempre que dichos dividendos provengan de rentas atribuibles a actividades realizadas por entidades no residentes.</w:t>
      </w:r>
    </w:p>
    <w:p w14:paraId="045A3BA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f) La prima en colocación de acciones distribuida por sociedades pertenecientes al régimen CHC a personas no residentes, siempre que dicha prima provenga de rentas atribuibles a actividades realizadas por entidades no residentes.</w:t>
      </w:r>
    </w:p>
    <w:p w14:paraId="045A3BAB"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g) Las rentas derivadas de la venta o transmisión de las acciones de una CHC por parte de una persona no residente, respecto de la proporción de la venta correspondiente al valor creado por entidades no residentes.</w:t>
      </w:r>
    </w:p>
    <w:p w14:paraId="045A3BAC" w14:textId="77777777" w:rsidR="00EC6252" w:rsidRPr="00F53530" w:rsidRDefault="00EC6252"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AD" w14:textId="77777777" w:rsidR="00040448" w:rsidRPr="00F53530" w:rsidRDefault="00040448" w:rsidP="00C44821">
      <w:pPr>
        <w:spacing w:before="240" w:after="240" w:line="240" w:lineRule="auto"/>
        <w:jc w:val="both"/>
        <w:rPr>
          <w:rFonts w:ascii="Times New Roman" w:hAnsi="Times New Roman"/>
        </w:rPr>
      </w:pPr>
      <w:r w:rsidRPr="00723518">
        <w:rPr>
          <w:rFonts w:ascii="Times New Roman" w:hAnsi="Times New Roman"/>
          <w:b/>
          <w:bCs/>
        </w:rPr>
        <w:t>ARTÍCULO 85.</w:t>
      </w:r>
      <w:r w:rsidR="00723518">
        <w:rPr>
          <w:rFonts w:ascii="Times New Roman" w:hAnsi="Times New Roman"/>
          <w:b/>
          <w:bCs/>
        </w:rPr>
        <w:t xml:space="preserve"> </w:t>
      </w:r>
      <w:r w:rsidRPr="00F53530">
        <w:rPr>
          <w:rFonts w:ascii="Times New Roman" w:hAnsi="Times New Roman"/>
        </w:rPr>
        <w:t xml:space="preserve">Adiciónese un parágrafo al artículo 49 del </w:t>
      </w:r>
      <w:r w:rsidR="00EC6252">
        <w:rPr>
          <w:rFonts w:ascii="Times New Roman" w:hAnsi="Times New Roman"/>
        </w:rPr>
        <w:t>*</w:t>
      </w:r>
      <w:r w:rsidRPr="00F53530">
        <w:rPr>
          <w:rFonts w:ascii="Times New Roman" w:hAnsi="Times New Roman"/>
        </w:rPr>
        <w:t>Estatuto Tributario, el cual quedará así:</w:t>
      </w:r>
    </w:p>
    <w:p w14:paraId="045A3BAE" w14:textId="77777777" w:rsidR="00040448" w:rsidRDefault="00280B8A" w:rsidP="00C44821">
      <w:pPr>
        <w:spacing w:before="240" w:after="240" w:line="240" w:lineRule="auto"/>
        <w:jc w:val="both"/>
        <w:rPr>
          <w:rFonts w:ascii="Times New Roman" w:hAnsi="Times New Roman"/>
          <w:i/>
        </w:rPr>
      </w:pPr>
      <w:r w:rsidRPr="00014DC9">
        <w:rPr>
          <w:rFonts w:ascii="Times New Roman" w:hAnsi="Times New Roman"/>
          <w:b/>
          <w:bCs/>
          <w:i/>
        </w:rPr>
        <w:lastRenderedPageBreak/>
        <w:t>PARÁGRAFO 4.</w:t>
      </w:r>
      <w:r w:rsidR="00A03C6F" w:rsidRPr="00F53530">
        <w:rPr>
          <w:rFonts w:ascii="Times New Roman" w:hAnsi="Times New Roman"/>
          <w:i/>
        </w:rPr>
        <w:t xml:space="preserve"> </w:t>
      </w:r>
      <w:r w:rsidR="00040448" w:rsidRPr="00F53530">
        <w:rPr>
          <w:rFonts w:ascii="Times New Roman" w:hAnsi="Times New Roman"/>
          <w:i/>
        </w:rPr>
        <w:t>Los dividendos o participaciones percibidos por sociedades nacionales pertenecientes al régimen de Compañías Holding Colombianas (CHC) tendrán el tratamiento establecido en el Título II del Libro Séptimo del Estatuto Tributario.</w:t>
      </w:r>
    </w:p>
    <w:p w14:paraId="045A3BAF" w14:textId="77777777" w:rsidR="00EC6252" w:rsidRPr="00F53530" w:rsidRDefault="00EC6252"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B0" w14:textId="77777777" w:rsidR="00040448" w:rsidRPr="00F53530" w:rsidRDefault="00040448" w:rsidP="00C44821">
      <w:pPr>
        <w:spacing w:before="240" w:after="240" w:line="240" w:lineRule="auto"/>
        <w:jc w:val="both"/>
        <w:rPr>
          <w:rFonts w:ascii="Times New Roman" w:hAnsi="Times New Roman"/>
        </w:rPr>
      </w:pPr>
      <w:r w:rsidRPr="00723518">
        <w:rPr>
          <w:rFonts w:ascii="Times New Roman" w:hAnsi="Times New Roman"/>
          <w:b/>
          <w:bCs/>
        </w:rPr>
        <w:t>ARTÍCULO 86.</w:t>
      </w:r>
      <w:r w:rsidR="00723518">
        <w:rPr>
          <w:rFonts w:ascii="Times New Roman" w:hAnsi="Times New Roman"/>
          <w:b/>
          <w:bCs/>
        </w:rPr>
        <w:t xml:space="preserve"> </w:t>
      </w:r>
      <w:r w:rsidRPr="00F53530">
        <w:rPr>
          <w:rFonts w:ascii="Times New Roman" w:hAnsi="Times New Roman"/>
        </w:rPr>
        <w:t xml:space="preserve">Modifíquese el artículo 115 del </w:t>
      </w:r>
      <w:r w:rsidR="00EC6252">
        <w:rPr>
          <w:rFonts w:ascii="Times New Roman" w:hAnsi="Times New Roman"/>
        </w:rPr>
        <w:t>*</w:t>
      </w:r>
      <w:r w:rsidRPr="00F53530">
        <w:rPr>
          <w:rFonts w:ascii="Times New Roman" w:hAnsi="Times New Roman"/>
        </w:rPr>
        <w:t>Estatuto Tributario, el cual quedará así:</w:t>
      </w:r>
    </w:p>
    <w:p w14:paraId="045A3BB1" w14:textId="77777777" w:rsidR="00040448" w:rsidRPr="00F53530" w:rsidRDefault="00040448" w:rsidP="00C44821">
      <w:pPr>
        <w:spacing w:before="240" w:after="240" w:line="240" w:lineRule="auto"/>
        <w:jc w:val="both"/>
        <w:rPr>
          <w:rFonts w:ascii="Times New Roman" w:hAnsi="Times New Roman"/>
          <w:i/>
        </w:rPr>
      </w:pPr>
      <w:r w:rsidRPr="00014DC9">
        <w:rPr>
          <w:rFonts w:ascii="Times New Roman" w:hAnsi="Times New Roman"/>
          <w:b/>
          <w:bCs/>
          <w:i/>
        </w:rPr>
        <w:t>Artículo 115</w:t>
      </w:r>
      <w:r w:rsidR="00280B8A" w:rsidRPr="00014DC9">
        <w:rPr>
          <w:rFonts w:ascii="Times New Roman" w:hAnsi="Times New Roman"/>
          <w:b/>
          <w:bCs/>
          <w:i/>
        </w:rPr>
        <w:t>.</w:t>
      </w:r>
      <w:r w:rsidRPr="00014DC9">
        <w:rPr>
          <w:rFonts w:ascii="Times New Roman" w:hAnsi="Times New Roman"/>
          <w:b/>
          <w:bCs/>
          <w:i/>
        </w:rPr>
        <w:t xml:space="preserve"> Deducción de impuestos pagados y otros.</w:t>
      </w:r>
      <w:r w:rsidRPr="00F53530">
        <w:rPr>
          <w:rFonts w:ascii="Times New Roman" w:hAnsi="Times New Roman"/>
          <w:i/>
        </w:rPr>
        <w:t xml:space="preserve"> Es deducible el cien por ciento (100%) de los impuestos, tasas y contribuciones, que efectivamente se hayan pagado durante el año o período gravable por parte del contribuyente, que tengan relación de causalidad con su actividad económica, con excepción del impuesto sobre la renta y complementarios.</w:t>
      </w:r>
    </w:p>
    <w:p w14:paraId="045A3BB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el caso del gravamen a los movimientos financieros será deducible el cincuenta por ciento (50%) que haya sido efectivamente pagado por los contribuyentes durante el respectivo año gravable, independientemente que tenga o no relación de causalidad con la actividad económica del contribuyente, siempre que se encuentre debidamente certificado por el agente retenedor.</w:t>
      </w:r>
    </w:p>
    <w:p w14:paraId="045A3BB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Las deducciones de que trata el presente artículo en ningún caso podrán tratarse simultáneamente como costo y gasto de la respectiva empresa.</w:t>
      </w:r>
    </w:p>
    <w:p w14:paraId="045A3BB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contribuyente podrá tomar como descuento tributario del impuesto sobre la renta el cincuenta por ciento (50%) del impuesto de industria y comercio, avisos y tableros.</w:t>
      </w:r>
    </w:p>
    <w:p w14:paraId="045A3BB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p>
    <w:p w14:paraId="045A3BB6" w14:textId="77777777" w:rsidR="00040448" w:rsidRPr="00F53530" w:rsidRDefault="00280B8A" w:rsidP="00C44821">
      <w:pPr>
        <w:spacing w:before="240" w:after="240" w:line="240" w:lineRule="auto"/>
        <w:jc w:val="both"/>
        <w:rPr>
          <w:rFonts w:ascii="Times New Roman" w:hAnsi="Times New Roman"/>
          <w:i/>
        </w:rPr>
      </w:pPr>
      <w:r w:rsidRPr="00014DC9">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El porcentaje del inciso 4 se incrementará al cien por ciento (100%) a partir del año gravable 2022.</w:t>
      </w:r>
    </w:p>
    <w:p w14:paraId="045A3BB7" w14:textId="77777777" w:rsidR="00040448" w:rsidRPr="00F53530" w:rsidRDefault="00280B8A" w:rsidP="00C44821">
      <w:pPr>
        <w:spacing w:before="240" w:after="240" w:line="240" w:lineRule="auto"/>
        <w:jc w:val="both"/>
        <w:rPr>
          <w:rFonts w:ascii="Times New Roman" w:hAnsi="Times New Roman"/>
          <w:i/>
        </w:rPr>
      </w:pPr>
      <w:r w:rsidRPr="00014DC9">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El impuesto al patrimonio y el impuesto de normalización no son deducibles en el impuesto sobre la renta.</w:t>
      </w:r>
    </w:p>
    <w:p w14:paraId="045A3BB8" w14:textId="77777777" w:rsidR="00040448" w:rsidRDefault="00280B8A" w:rsidP="00C44821">
      <w:pPr>
        <w:spacing w:before="240" w:after="240" w:line="240" w:lineRule="auto"/>
        <w:jc w:val="both"/>
        <w:rPr>
          <w:rFonts w:ascii="Times New Roman" w:hAnsi="Times New Roman"/>
          <w:i/>
        </w:rPr>
      </w:pPr>
      <w:r w:rsidRPr="00014DC9">
        <w:rPr>
          <w:rFonts w:ascii="Times New Roman" w:hAnsi="Times New Roman"/>
          <w:b/>
          <w:bCs/>
          <w:i/>
        </w:rPr>
        <w:t>PARÁGRAFO 3.</w:t>
      </w:r>
      <w:r w:rsidR="00A03C6F" w:rsidRPr="00F53530">
        <w:rPr>
          <w:rFonts w:ascii="Times New Roman" w:hAnsi="Times New Roman"/>
          <w:i/>
        </w:rPr>
        <w:t xml:space="preserve"> </w:t>
      </w:r>
      <w:r w:rsidR="00040448" w:rsidRPr="00F53530">
        <w:rPr>
          <w:rFonts w:ascii="Times New Roman" w:hAnsi="Times New Roman"/>
          <w:i/>
        </w:rPr>
        <w:t>Las cuotas de afiliación pagadas a los gremios serán deducibles del impuesto de renta.</w:t>
      </w:r>
    </w:p>
    <w:p w14:paraId="045A3BB9" w14:textId="77777777" w:rsidR="00EC6252" w:rsidRPr="00F53530" w:rsidRDefault="00EC6252"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BA" w14:textId="77777777" w:rsidR="00040448" w:rsidRPr="00F53530" w:rsidRDefault="00040448" w:rsidP="00C44821">
      <w:pPr>
        <w:spacing w:before="240" w:after="240" w:line="240" w:lineRule="auto"/>
        <w:jc w:val="both"/>
        <w:rPr>
          <w:rFonts w:ascii="Times New Roman" w:hAnsi="Times New Roman"/>
        </w:rPr>
      </w:pPr>
      <w:r w:rsidRPr="00723518">
        <w:rPr>
          <w:rFonts w:ascii="Times New Roman" w:hAnsi="Times New Roman"/>
          <w:b/>
          <w:bCs/>
        </w:rPr>
        <w:t>ARTÍCULO 87.</w:t>
      </w:r>
      <w:r w:rsidR="00723518">
        <w:rPr>
          <w:rFonts w:ascii="Times New Roman" w:hAnsi="Times New Roman"/>
          <w:b/>
          <w:bCs/>
        </w:rPr>
        <w:t xml:space="preserve"> </w:t>
      </w:r>
      <w:r w:rsidRPr="00F53530">
        <w:rPr>
          <w:rFonts w:ascii="Times New Roman" w:hAnsi="Times New Roman"/>
        </w:rPr>
        <w:t xml:space="preserve">Adiciónese el artículo 107-2 al </w:t>
      </w:r>
      <w:r w:rsidR="00EC6252">
        <w:rPr>
          <w:rFonts w:ascii="Times New Roman" w:hAnsi="Times New Roman"/>
        </w:rPr>
        <w:t>*</w:t>
      </w:r>
      <w:r w:rsidRPr="00F53530">
        <w:rPr>
          <w:rFonts w:ascii="Times New Roman" w:hAnsi="Times New Roman"/>
        </w:rPr>
        <w:t>Estatuto Tributario, el cual quedará así:</w:t>
      </w:r>
    </w:p>
    <w:p w14:paraId="045A3BBB" w14:textId="77777777" w:rsidR="00040448" w:rsidRPr="00F53530" w:rsidRDefault="00040448" w:rsidP="00C44821">
      <w:pPr>
        <w:spacing w:before="240" w:after="240" w:line="240" w:lineRule="auto"/>
        <w:jc w:val="both"/>
        <w:rPr>
          <w:rFonts w:ascii="Times New Roman" w:hAnsi="Times New Roman"/>
          <w:i/>
        </w:rPr>
      </w:pPr>
      <w:r w:rsidRPr="007B0DDB">
        <w:rPr>
          <w:rFonts w:ascii="Times New Roman" w:hAnsi="Times New Roman"/>
          <w:b/>
          <w:bCs/>
          <w:i/>
        </w:rPr>
        <w:t>Artículo 107-2</w:t>
      </w:r>
      <w:r w:rsidR="00280B8A" w:rsidRPr="007B0DDB">
        <w:rPr>
          <w:rFonts w:ascii="Times New Roman" w:hAnsi="Times New Roman"/>
          <w:b/>
          <w:bCs/>
          <w:i/>
        </w:rPr>
        <w:t>.</w:t>
      </w:r>
      <w:r w:rsidRPr="007B0DDB">
        <w:rPr>
          <w:rFonts w:ascii="Times New Roman" w:hAnsi="Times New Roman"/>
          <w:b/>
          <w:bCs/>
          <w:i/>
        </w:rPr>
        <w:t xml:space="preserve"> Deducciones por contribuciones a educación de los empleados.</w:t>
      </w:r>
      <w:r w:rsidRPr="00F53530">
        <w:rPr>
          <w:rFonts w:ascii="Times New Roman" w:hAnsi="Times New Roman"/>
          <w:i/>
        </w:rPr>
        <w:t xml:space="preserve"> Las siguientes deducciones serán aceptadas fiscalmente siempre y cuando se encuentren debidamente soportadas:</w:t>
      </w:r>
    </w:p>
    <w:p w14:paraId="045A3BB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Los pagos destinados a programas de becas de estudios totales o parciales y de créditos condonables para educación, establecidos por las personas jurídicas en beneficio de sus empleados o de los miembros del núcleo familiar del trabajador;</w:t>
      </w:r>
    </w:p>
    <w:p w14:paraId="045A3BB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b) Los pagos a inversiones dirigidos a programas o centros de atención, estimulación y desarrollo integral y/o de educación inicial, para niños y niñas menores de siete años, establecidos por las empresas exclusivamente para los hijos de sus empleados;</w:t>
      </w:r>
    </w:p>
    <w:p w14:paraId="045A3BB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Los aportes que realicen las empresas para instituciones de educación básica-primaria y secundaria -y media reconocidas por el Ministerio de Educación, y las de educación técnica, tecnológica y de educación superior que cumplan con los requisitos establecidos por el Ministerio de Educación, y que se justifican por beneficiar a las comunidades y zonas de influencia donde se realiza la actividad productiva o comercial de la persona jurídica.</w:t>
      </w:r>
    </w:p>
    <w:p w14:paraId="045A3BBF" w14:textId="77777777" w:rsidR="00040448" w:rsidRPr="00F53530" w:rsidRDefault="00280B8A" w:rsidP="00C44821">
      <w:pPr>
        <w:spacing w:before="240" w:after="240" w:line="240" w:lineRule="auto"/>
        <w:jc w:val="both"/>
        <w:rPr>
          <w:rFonts w:ascii="Times New Roman" w:hAnsi="Times New Roman"/>
          <w:i/>
        </w:rPr>
      </w:pPr>
      <w:r w:rsidRPr="007B0DDB">
        <w:rPr>
          <w:rFonts w:ascii="Times New Roman" w:hAnsi="Times New Roman"/>
          <w:b/>
          <w:bCs/>
          <w:i/>
        </w:rPr>
        <w:t>PARÁGRAFO.</w:t>
      </w:r>
      <w:r w:rsidR="00A03C6F" w:rsidRPr="00F53530">
        <w:rPr>
          <w:rFonts w:ascii="Times New Roman" w:hAnsi="Times New Roman"/>
          <w:i/>
        </w:rPr>
        <w:t xml:space="preserve"> </w:t>
      </w:r>
      <w:r w:rsidR="00040448" w:rsidRPr="00F53530">
        <w:rPr>
          <w:rFonts w:ascii="Times New Roman" w:hAnsi="Times New Roman"/>
          <w:i/>
        </w:rPr>
        <w:t>Para todos los efectos, los pagos definidos en este artículo no se considerarán pagos indirectos hechos al trabajador.</w:t>
      </w:r>
    </w:p>
    <w:p w14:paraId="045A3BC0"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Lo anterior será reglamentado por el Gobierno nacional.</w:t>
      </w:r>
    </w:p>
    <w:p w14:paraId="045A3BC1" w14:textId="77777777" w:rsidR="00EC6252" w:rsidRPr="00F53530" w:rsidRDefault="00EC6252"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C2" w14:textId="77777777" w:rsidR="00040448" w:rsidRPr="00F53530" w:rsidRDefault="00040448" w:rsidP="00C44821">
      <w:pPr>
        <w:spacing w:before="240" w:after="240" w:line="240" w:lineRule="auto"/>
        <w:jc w:val="both"/>
        <w:rPr>
          <w:rFonts w:ascii="Times New Roman" w:hAnsi="Times New Roman"/>
        </w:rPr>
      </w:pPr>
      <w:r w:rsidRPr="00723518">
        <w:rPr>
          <w:rFonts w:ascii="Times New Roman" w:hAnsi="Times New Roman"/>
          <w:b/>
          <w:bCs/>
        </w:rPr>
        <w:t>ARTÍCULO 88.</w:t>
      </w:r>
      <w:r w:rsidR="00723518">
        <w:rPr>
          <w:rFonts w:ascii="Times New Roman" w:hAnsi="Times New Roman"/>
          <w:b/>
          <w:bCs/>
        </w:rPr>
        <w:t xml:space="preserve"> </w:t>
      </w:r>
      <w:r w:rsidRPr="00F53530">
        <w:rPr>
          <w:rFonts w:ascii="Times New Roman" w:hAnsi="Times New Roman"/>
        </w:rPr>
        <w:t xml:space="preserve">Adiciónese el artículo 108-5 al </w:t>
      </w:r>
      <w:r w:rsidR="00EC6252">
        <w:rPr>
          <w:rFonts w:ascii="Times New Roman" w:hAnsi="Times New Roman"/>
        </w:rPr>
        <w:t>*</w:t>
      </w:r>
      <w:r w:rsidRPr="00F53530">
        <w:rPr>
          <w:rFonts w:ascii="Times New Roman" w:hAnsi="Times New Roman"/>
        </w:rPr>
        <w:t>Estatuto Tributario, el cual quedará así:</w:t>
      </w:r>
    </w:p>
    <w:p w14:paraId="045A3BC3" w14:textId="77777777" w:rsidR="00040448" w:rsidRPr="00F53530" w:rsidRDefault="00040448" w:rsidP="00C44821">
      <w:pPr>
        <w:spacing w:before="240" w:after="240" w:line="240" w:lineRule="auto"/>
        <w:jc w:val="both"/>
        <w:rPr>
          <w:rFonts w:ascii="Times New Roman" w:hAnsi="Times New Roman"/>
          <w:i/>
        </w:rPr>
      </w:pPr>
      <w:r w:rsidRPr="007B0DDB">
        <w:rPr>
          <w:rFonts w:ascii="Times New Roman" w:hAnsi="Times New Roman"/>
          <w:b/>
          <w:bCs/>
          <w:i/>
        </w:rPr>
        <w:t>Artículo 108-5</w:t>
      </w:r>
      <w:r w:rsidR="00280B8A" w:rsidRPr="007B0DDB">
        <w:rPr>
          <w:rFonts w:ascii="Times New Roman" w:hAnsi="Times New Roman"/>
          <w:b/>
          <w:bCs/>
          <w:i/>
        </w:rPr>
        <w:t>.</w:t>
      </w:r>
      <w:r w:rsidRPr="007B0DDB">
        <w:rPr>
          <w:rFonts w:ascii="Times New Roman" w:hAnsi="Times New Roman"/>
          <w:b/>
          <w:bCs/>
          <w:i/>
        </w:rPr>
        <w:t xml:space="preserve"> Deducción del primer empleo.</w:t>
      </w:r>
      <w:r w:rsidRPr="00F53530">
        <w:rPr>
          <w:rFonts w:ascii="Times New Roman" w:hAnsi="Times New Roman"/>
          <w:i/>
        </w:rPr>
        <w:t xml:space="preserve"> Los contribuyentes que estén obligados a presentar declaración de renta y complementarios, tienen derecho a deducir el 120% de los pagos que realicen por concepto de salario, en relación con los empleados que sean menores de veintiocho (28) años, siempre y cuando se trate del primer empleo de la persona. La deducción máxima por cada empleado no podrá exceder ciento quince (115) UVT mensuales y procederá en el año gravable en el que el empleado sea contratado por el contribuyente.</w:t>
      </w:r>
    </w:p>
    <w:p w14:paraId="045A3BC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efectos de acceder a la deducción de que trata este artículo, debe tratarse de nuevos empleos y el empleado deberá ser contratado con posterioridad a la vigencia de la presente Ley, ser menor de veintiocho (28) años y ser el primer empleo de la persona.</w:t>
      </w:r>
    </w:p>
    <w:p w14:paraId="045A3BC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Ministerio del Trabajo expedirá al contribuyente una certificación en la que se acredite que se trata del primer empleo de la persona menor de veintiocho (28) años, como requisito para poder acceder a la deducción de que trata ese artículo.</w:t>
      </w:r>
    </w:p>
    <w:p w14:paraId="045A3BC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Ministerio del Trabajo llevará un registro anualizado de todas las certificaciones de primer empleo que expida, con la identificación del empleado y del contribuyente.</w:t>
      </w:r>
    </w:p>
    <w:p w14:paraId="045A3BC7" w14:textId="77777777" w:rsidR="00040448" w:rsidRPr="00F53530" w:rsidRDefault="00040448" w:rsidP="00C44821">
      <w:pPr>
        <w:spacing w:before="240" w:after="240" w:line="240" w:lineRule="auto"/>
        <w:jc w:val="both"/>
        <w:rPr>
          <w:rFonts w:ascii="Times New Roman" w:hAnsi="Times New Roman"/>
        </w:rPr>
      </w:pPr>
      <w:r w:rsidRPr="00723518">
        <w:rPr>
          <w:rFonts w:ascii="Times New Roman" w:hAnsi="Times New Roman"/>
          <w:b/>
          <w:bCs/>
        </w:rPr>
        <w:t>ARTÍCULO 89.</w:t>
      </w:r>
      <w:r w:rsidR="00723518">
        <w:rPr>
          <w:rFonts w:ascii="Times New Roman" w:hAnsi="Times New Roman"/>
          <w:b/>
          <w:bCs/>
        </w:rPr>
        <w:t xml:space="preserve"> </w:t>
      </w:r>
      <w:r w:rsidRPr="00F53530">
        <w:rPr>
          <w:rFonts w:ascii="Times New Roman" w:hAnsi="Times New Roman"/>
        </w:rPr>
        <w:t xml:space="preserve">Modifíquese el artículo 119 del </w:t>
      </w:r>
      <w:r w:rsidR="00EC6252">
        <w:rPr>
          <w:rFonts w:ascii="Times New Roman" w:hAnsi="Times New Roman"/>
        </w:rPr>
        <w:t>*</w:t>
      </w:r>
      <w:r w:rsidRPr="00F53530">
        <w:rPr>
          <w:rFonts w:ascii="Times New Roman" w:hAnsi="Times New Roman"/>
        </w:rPr>
        <w:t>Estatuto Tributario, el cual quedará:</w:t>
      </w:r>
    </w:p>
    <w:p w14:paraId="045A3BC8" w14:textId="77777777" w:rsidR="00040448" w:rsidRPr="00F53530" w:rsidRDefault="00040448" w:rsidP="00C44821">
      <w:pPr>
        <w:spacing w:before="240" w:after="240" w:line="240" w:lineRule="auto"/>
        <w:jc w:val="both"/>
        <w:rPr>
          <w:rFonts w:ascii="Times New Roman" w:hAnsi="Times New Roman"/>
          <w:i/>
        </w:rPr>
      </w:pPr>
      <w:r w:rsidRPr="007B0DDB">
        <w:rPr>
          <w:rFonts w:ascii="Times New Roman" w:hAnsi="Times New Roman"/>
          <w:b/>
          <w:bCs/>
          <w:i/>
        </w:rPr>
        <w:t>Artículo 119</w:t>
      </w:r>
      <w:r w:rsidR="00280B8A" w:rsidRPr="007B0DDB">
        <w:rPr>
          <w:rFonts w:ascii="Times New Roman" w:hAnsi="Times New Roman"/>
          <w:b/>
          <w:bCs/>
          <w:i/>
        </w:rPr>
        <w:t>.</w:t>
      </w:r>
      <w:r w:rsidRPr="007B0DDB">
        <w:rPr>
          <w:rFonts w:ascii="Times New Roman" w:hAnsi="Times New Roman"/>
          <w:b/>
          <w:bCs/>
          <w:i/>
        </w:rPr>
        <w:t xml:space="preserve"> Deducción de intereses sobre préstamos educativos del Icetex y para adquisición de vivienda.</w:t>
      </w:r>
      <w:r w:rsidR="007B0DDB">
        <w:rPr>
          <w:rFonts w:ascii="Times New Roman" w:hAnsi="Times New Roman"/>
          <w:b/>
          <w:bCs/>
          <w:i/>
        </w:rPr>
        <w:t xml:space="preserve"> </w:t>
      </w:r>
      <w:r w:rsidRPr="00F53530">
        <w:rPr>
          <w:rFonts w:ascii="Times New Roman" w:hAnsi="Times New Roman"/>
          <w:i/>
        </w:rPr>
        <w:t>Aunque no guarden relación de causalidad con la producción de la renta, también son deducibles los intereses que se paguen sobre préstamos para adquisición de vivienda del contribuyente, siempre que el préstamo esté garantizado con hipoteca si el acreedor no está sometido a la vigilancia del Estado, y se cumplen las demás condiciones señaladas en este artículo.</w:t>
      </w:r>
    </w:p>
    <w:p w14:paraId="045A3BC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Cuando el préstamo de vivienda se haya adquirido en unidades de poder adquisitivo constante, la deducción por intereses y corrección monetaria estará limitada para cada contribuyente al valor equivalente a las primeras cuatro mil quinientos cincuenta y tres (4.553) unidades de poder adquisitivo constante UPAC, del respectivo préstamo. Dicha deducción no podrá exceder </w:t>
      </w:r>
      <w:r w:rsidRPr="00F53530">
        <w:rPr>
          <w:rFonts w:ascii="Times New Roman" w:hAnsi="Times New Roman"/>
          <w:i/>
        </w:rPr>
        <w:lastRenderedPageBreak/>
        <w:t>anualmente del valor equivalente de mil (1.000) unidades de poder adquisitivo constante.* (Hoy 1.200 Uvt)</w:t>
      </w:r>
    </w:p>
    <w:p w14:paraId="045A3BCA"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También estarán sujetos a las deducciones de que trata este artículo los intereses que se paguen sobre préstamos educativos del Instituto Colombiano de Créditos Educativo y Estudios Técnicos en el Exterior (Icetex) dirigidos para la educación superior del contribuyente. Dicha deducción no podrá exceder anualmente del valor equivalente a 100 UVT.</w:t>
      </w:r>
    </w:p>
    <w:p w14:paraId="045A3BCB" w14:textId="77777777" w:rsidR="00EC6252" w:rsidRPr="00F53530" w:rsidRDefault="00EC6252"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CC" w14:textId="77777777" w:rsidR="00040448" w:rsidRPr="00F53530" w:rsidRDefault="00040448" w:rsidP="00C44821">
      <w:pPr>
        <w:spacing w:before="240" w:after="240" w:line="240" w:lineRule="auto"/>
        <w:jc w:val="both"/>
        <w:rPr>
          <w:rFonts w:ascii="Times New Roman" w:hAnsi="Times New Roman"/>
        </w:rPr>
      </w:pPr>
      <w:r w:rsidRPr="00723518">
        <w:rPr>
          <w:rFonts w:ascii="Times New Roman" w:hAnsi="Times New Roman"/>
          <w:b/>
          <w:bCs/>
        </w:rPr>
        <w:t>ARTÍCULO 90.</w:t>
      </w:r>
      <w:r w:rsidR="00723518">
        <w:rPr>
          <w:rFonts w:ascii="Times New Roman" w:hAnsi="Times New Roman"/>
          <w:b/>
          <w:bCs/>
        </w:rPr>
        <w:t xml:space="preserve"> </w:t>
      </w:r>
      <w:r w:rsidRPr="00F53530">
        <w:rPr>
          <w:rFonts w:ascii="Times New Roman" w:hAnsi="Times New Roman"/>
        </w:rPr>
        <w:t xml:space="preserve">Modifíquese el artículo 188 del </w:t>
      </w:r>
      <w:r w:rsidR="00521627">
        <w:rPr>
          <w:rFonts w:ascii="Times New Roman" w:hAnsi="Times New Roman"/>
        </w:rPr>
        <w:t>*</w:t>
      </w:r>
      <w:r w:rsidRPr="00F53530">
        <w:rPr>
          <w:rFonts w:ascii="Times New Roman" w:hAnsi="Times New Roman"/>
        </w:rPr>
        <w:t>Estatuto Tributario, el cual quedará así:</w:t>
      </w:r>
    </w:p>
    <w:p w14:paraId="045A3BCD" w14:textId="77777777" w:rsidR="00040448" w:rsidRPr="00F53530" w:rsidRDefault="00040448" w:rsidP="00C44821">
      <w:pPr>
        <w:spacing w:before="240" w:after="240" w:line="240" w:lineRule="auto"/>
        <w:jc w:val="both"/>
        <w:rPr>
          <w:rFonts w:ascii="Times New Roman" w:hAnsi="Times New Roman"/>
          <w:i/>
        </w:rPr>
      </w:pPr>
      <w:r w:rsidRPr="00403995">
        <w:rPr>
          <w:rFonts w:ascii="Times New Roman" w:hAnsi="Times New Roman"/>
          <w:b/>
          <w:bCs/>
          <w:i/>
        </w:rPr>
        <w:t>Artículo 188</w:t>
      </w:r>
      <w:r w:rsidR="00280B8A" w:rsidRPr="00403995">
        <w:rPr>
          <w:rFonts w:ascii="Times New Roman" w:hAnsi="Times New Roman"/>
          <w:b/>
          <w:bCs/>
          <w:i/>
        </w:rPr>
        <w:t>.</w:t>
      </w:r>
      <w:r w:rsidRPr="00403995">
        <w:rPr>
          <w:rFonts w:ascii="Times New Roman" w:hAnsi="Times New Roman"/>
          <w:b/>
          <w:bCs/>
          <w:i/>
        </w:rPr>
        <w:t xml:space="preserve"> Base y porcentaje de la renta presuntiva.</w:t>
      </w:r>
      <w:r w:rsidRPr="00F53530">
        <w:rPr>
          <w:rFonts w:ascii="Times New Roman" w:hAnsi="Times New Roman"/>
          <w:i/>
        </w:rPr>
        <w:t xml:space="preserve"> Para efectos del impuesto sobre la renta, se presume que la renta líquida del contribuyente no es inferior al tres y medio por ciento (3.5%) de su patrimonio líquido, en el último día del ejercicio gravable inmediatamente anterior.</w:t>
      </w:r>
    </w:p>
    <w:p w14:paraId="045A3BC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porcentaje de renta presuntiva al que se refiere este artículo se reducirá al cero punto cinco por ciento (0,5%) en el año gravable 2020; y al cero por ciento (0 %) a partir del año gravable 2021.</w:t>
      </w:r>
    </w:p>
    <w:p w14:paraId="045A3BCF"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Los contribuyentes inscritos bajo el impuesto unificado bajo el Régimen Simple de Tributación -SIMPLE no estarán sujetos a renta presuntiva.</w:t>
      </w:r>
    </w:p>
    <w:p w14:paraId="045A3BD0" w14:textId="77777777" w:rsidR="00521627" w:rsidRPr="00F53530" w:rsidRDefault="00521627"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BD1" w14:textId="77777777" w:rsidR="00040448" w:rsidRPr="00F53530" w:rsidRDefault="00040448" w:rsidP="00C44821">
      <w:pPr>
        <w:spacing w:before="240" w:after="240" w:line="240" w:lineRule="auto"/>
        <w:jc w:val="both"/>
        <w:rPr>
          <w:rFonts w:ascii="Times New Roman" w:hAnsi="Times New Roman"/>
        </w:rPr>
      </w:pPr>
      <w:r w:rsidRPr="00723518">
        <w:rPr>
          <w:rFonts w:ascii="Times New Roman" w:hAnsi="Times New Roman"/>
          <w:b/>
          <w:bCs/>
        </w:rPr>
        <w:t>ARTÍCULO 91.</w:t>
      </w:r>
      <w:r w:rsidR="00723518">
        <w:rPr>
          <w:rFonts w:ascii="Times New Roman" w:hAnsi="Times New Roman"/>
          <w:b/>
          <w:bCs/>
        </w:rPr>
        <w:t xml:space="preserve"> </w:t>
      </w:r>
      <w:r w:rsidRPr="00F53530">
        <w:rPr>
          <w:rFonts w:ascii="Times New Roman" w:hAnsi="Times New Roman"/>
        </w:rPr>
        <w:t xml:space="preserve">Modifíquese el artículo 235-2 al </w:t>
      </w:r>
      <w:r w:rsidR="00521627">
        <w:rPr>
          <w:rFonts w:ascii="Times New Roman" w:hAnsi="Times New Roman"/>
        </w:rPr>
        <w:t>*</w:t>
      </w:r>
      <w:r w:rsidRPr="00F53530">
        <w:rPr>
          <w:rFonts w:ascii="Times New Roman" w:hAnsi="Times New Roman"/>
        </w:rPr>
        <w:t>Estatuto Tributario, el cual quedará así:</w:t>
      </w:r>
    </w:p>
    <w:p w14:paraId="045A3BD2" w14:textId="77777777" w:rsidR="00040448" w:rsidRPr="00521627" w:rsidRDefault="00040448" w:rsidP="00C44821">
      <w:pPr>
        <w:spacing w:before="240" w:after="240" w:line="240" w:lineRule="auto"/>
        <w:jc w:val="both"/>
        <w:rPr>
          <w:rFonts w:ascii="Times New Roman" w:hAnsi="Times New Roman"/>
          <w:i/>
          <w:iCs/>
        </w:rPr>
      </w:pPr>
      <w:r w:rsidRPr="00521627">
        <w:rPr>
          <w:rFonts w:ascii="Times New Roman" w:hAnsi="Times New Roman"/>
          <w:i/>
          <w:iCs/>
        </w:rPr>
        <w:t>Artículo 235-2</w:t>
      </w:r>
      <w:r w:rsidR="00280B8A" w:rsidRPr="00521627">
        <w:rPr>
          <w:rFonts w:ascii="Times New Roman" w:hAnsi="Times New Roman"/>
          <w:i/>
          <w:iCs/>
        </w:rPr>
        <w:t>.</w:t>
      </w:r>
      <w:r w:rsidRPr="00521627">
        <w:rPr>
          <w:rFonts w:ascii="Times New Roman" w:hAnsi="Times New Roman"/>
          <w:i/>
          <w:iCs/>
        </w:rPr>
        <w:t xml:space="preserve"> Rentas exentas a partir del año gravable 2019. Sin perjuicio de las rentas exentas de las personas naturales de los artículos 126-1</w:t>
      </w:r>
      <w:r w:rsidR="009F6554" w:rsidRPr="00521627">
        <w:rPr>
          <w:rFonts w:ascii="Times New Roman" w:hAnsi="Times New Roman"/>
          <w:i/>
          <w:iCs/>
        </w:rPr>
        <w:t>,</w:t>
      </w:r>
      <w:r w:rsidRPr="00521627">
        <w:rPr>
          <w:rFonts w:ascii="Times New Roman" w:hAnsi="Times New Roman"/>
          <w:i/>
          <w:iCs/>
        </w:rPr>
        <w:t xml:space="preserve"> 126-4</w:t>
      </w:r>
      <w:r w:rsidR="009F6554" w:rsidRPr="00521627">
        <w:rPr>
          <w:rFonts w:ascii="Times New Roman" w:hAnsi="Times New Roman"/>
          <w:i/>
          <w:iCs/>
        </w:rPr>
        <w:t>,</w:t>
      </w:r>
      <w:r w:rsidRPr="00521627">
        <w:rPr>
          <w:rFonts w:ascii="Times New Roman" w:hAnsi="Times New Roman"/>
          <w:i/>
          <w:iCs/>
        </w:rPr>
        <w:t xml:space="preserve"> 206 y 206-1 del </w:t>
      </w:r>
      <w:r w:rsidR="00521627" w:rsidRPr="00521627">
        <w:rPr>
          <w:rFonts w:ascii="Times New Roman" w:hAnsi="Times New Roman"/>
          <w:i/>
          <w:iCs/>
        </w:rPr>
        <w:t>*</w:t>
      </w:r>
      <w:r w:rsidRPr="00521627">
        <w:rPr>
          <w:rFonts w:ascii="Times New Roman" w:hAnsi="Times New Roman"/>
          <w:i/>
          <w:iCs/>
        </w:rPr>
        <w:t xml:space="preserve">Estatuto Tributario y de las reconocidas en los convenios internacionales ratificados por Colombia, las únicas excepciones legales de que trata el artículo 26 del </w:t>
      </w:r>
      <w:r w:rsidR="00521627" w:rsidRPr="00521627">
        <w:rPr>
          <w:rFonts w:ascii="Times New Roman" w:hAnsi="Times New Roman"/>
          <w:i/>
          <w:iCs/>
        </w:rPr>
        <w:t>*</w:t>
      </w:r>
      <w:r w:rsidRPr="00521627">
        <w:rPr>
          <w:rFonts w:ascii="Times New Roman" w:hAnsi="Times New Roman"/>
          <w:i/>
          <w:iCs/>
        </w:rPr>
        <w:t>Estatuto Tributario son las siguientes:</w:t>
      </w:r>
    </w:p>
    <w:p w14:paraId="045A3BD3" w14:textId="19A6EF6F" w:rsidR="00040448" w:rsidRPr="00521627" w:rsidRDefault="00040448" w:rsidP="00C44821">
      <w:pPr>
        <w:spacing w:before="240" w:after="240" w:line="240" w:lineRule="auto"/>
        <w:jc w:val="both"/>
        <w:rPr>
          <w:rFonts w:ascii="Times New Roman" w:hAnsi="Times New Roman"/>
          <w:i/>
          <w:iCs/>
        </w:rPr>
      </w:pPr>
      <w:r w:rsidRPr="00521627">
        <w:rPr>
          <w:rFonts w:ascii="Times New Roman" w:hAnsi="Times New Roman"/>
          <w:i/>
          <w:iCs/>
        </w:rPr>
        <w:t xml:space="preserve">1. </w:t>
      </w:r>
      <w:bookmarkStart w:id="4" w:name="_Hlk146201978"/>
      <w:r w:rsidR="00BC5D11" w:rsidRPr="00241CD4">
        <w:rPr>
          <w:rFonts w:ascii="Times New Roman" w:hAnsi="Times New Roman"/>
          <w:b/>
          <w:bCs/>
          <w:i/>
          <w:iCs/>
          <w:shd w:val="clear" w:color="auto" w:fill="FFFFFF"/>
        </w:rPr>
        <w:t xml:space="preserve">(Aparte </w:t>
      </w:r>
      <w:r w:rsidR="00BC5D11">
        <w:rPr>
          <w:rFonts w:ascii="Times New Roman" w:hAnsi="Times New Roman"/>
          <w:b/>
          <w:bCs/>
          <w:i/>
          <w:iCs/>
          <w:shd w:val="clear" w:color="auto" w:fill="FFFFFF"/>
        </w:rPr>
        <w:t>subrayado</w:t>
      </w:r>
      <w:r w:rsidR="00BC5D11" w:rsidRPr="00241CD4">
        <w:rPr>
          <w:rFonts w:ascii="Times New Roman" w:hAnsi="Times New Roman"/>
          <w:b/>
          <w:bCs/>
          <w:i/>
          <w:iCs/>
          <w:shd w:val="clear" w:color="auto" w:fill="FFFFFF"/>
        </w:rPr>
        <w:t xml:space="preserve"> modificado por el artículo 3 de la </w:t>
      </w:r>
      <w:hyperlink r:id="rId69" w:history="1">
        <w:r w:rsidR="00BC5D11" w:rsidRPr="00241CD4">
          <w:rPr>
            <w:rStyle w:val="Hipervnculo"/>
            <w:rFonts w:ascii="Times New Roman" w:hAnsi="Times New Roman"/>
            <w:b/>
            <w:bCs/>
            <w:i/>
            <w:iCs/>
            <w:shd w:val="clear" w:color="auto" w:fill="FFFFFF"/>
          </w:rPr>
          <w:t xml:space="preserve">Ley </w:t>
        </w:r>
        <w:r w:rsidR="00BC5D11" w:rsidRPr="00241CD4">
          <w:rPr>
            <w:rStyle w:val="Hipervnculo"/>
            <w:rFonts w:ascii="Times New Roman" w:hAnsi="Times New Roman"/>
            <w:b/>
            <w:i/>
            <w:iCs/>
            <w:lang w:val="es-MX" w:eastAsia="es-MX"/>
          </w:rPr>
          <w:t>2319 de 29 de agosto de 2023</w:t>
        </w:r>
      </w:hyperlink>
      <w:r w:rsidR="00BC5D11" w:rsidRPr="00241CD4">
        <w:rPr>
          <w:rFonts w:ascii="Times New Roman" w:hAnsi="Times New Roman"/>
          <w:b/>
          <w:i/>
          <w:iCs/>
          <w:lang w:val="es-MX" w:eastAsia="es-MX"/>
        </w:rPr>
        <w:t>)</w:t>
      </w:r>
      <w:r w:rsidR="00BC5D11">
        <w:rPr>
          <w:rFonts w:ascii="Times New Roman" w:hAnsi="Times New Roman"/>
          <w:b/>
          <w:i/>
          <w:iCs/>
          <w:lang w:val="es-MX" w:eastAsia="es-MX"/>
        </w:rPr>
        <w:t>.</w:t>
      </w:r>
      <w:bookmarkEnd w:id="4"/>
      <w:r w:rsidR="00BC5D11">
        <w:rPr>
          <w:rFonts w:ascii="Times New Roman" w:hAnsi="Times New Roman"/>
          <w:b/>
          <w:i/>
          <w:iCs/>
          <w:lang w:val="es-MX" w:eastAsia="es-MX"/>
        </w:rPr>
        <w:t xml:space="preserve"> </w:t>
      </w:r>
      <w:r w:rsidRPr="00521627">
        <w:rPr>
          <w:rFonts w:ascii="Times New Roman" w:hAnsi="Times New Roman"/>
          <w:i/>
          <w:iCs/>
        </w:rPr>
        <w:t xml:space="preserve">Incentivo tributario para empresas de </w:t>
      </w:r>
      <w:r w:rsidR="00BC5D11" w:rsidRPr="00BC5D11">
        <w:rPr>
          <w:rFonts w:ascii="Times New Roman" w:hAnsi="Times New Roman"/>
          <w:i/>
          <w:iCs/>
          <w:u w:val="single"/>
        </w:rPr>
        <w:t>Economía Cultural y Creativa</w:t>
      </w:r>
      <w:r w:rsidRPr="00521627">
        <w:rPr>
          <w:rFonts w:ascii="Times New Roman" w:hAnsi="Times New Roman"/>
          <w:i/>
          <w:iCs/>
        </w:rPr>
        <w:t>. Las rentas provenientes del desarrollo de industrias de valor agregado tecnológico y actividades creativas, por un término de siete (7) años, siempre que se cumplan los siguientes requisitos:</w:t>
      </w:r>
    </w:p>
    <w:p w14:paraId="045A3BD4" w14:textId="77777777" w:rsidR="00040448" w:rsidRPr="00521627" w:rsidRDefault="00040448" w:rsidP="00C44821">
      <w:pPr>
        <w:spacing w:before="240" w:after="240" w:line="240" w:lineRule="auto"/>
        <w:jc w:val="both"/>
        <w:rPr>
          <w:rFonts w:ascii="Times New Roman" w:hAnsi="Times New Roman"/>
          <w:i/>
          <w:iCs/>
        </w:rPr>
      </w:pPr>
      <w:r w:rsidRPr="00521627">
        <w:rPr>
          <w:rFonts w:ascii="Times New Roman" w:hAnsi="Times New Roman"/>
          <w:i/>
          <w:iCs/>
        </w:rPr>
        <w:t>a) Las sociedades deben tener su domicilio principal dentro del territorio colombiano, y su objeto social exclusivo debe ser el desarrollo de industrias de valor agregado tecnológico y/o actividades creativas.</w:t>
      </w:r>
    </w:p>
    <w:p w14:paraId="045A3BD5" w14:textId="77777777" w:rsidR="00040448" w:rsidRPr="00521627" w:rsidRDefault="00040448" w:rsidP="00C44821">
      <w:pPr>
        <w:spacing w:before="240" w:after="240" w:line="240" w:lineRule="auto"/>
        <w:jc w:val="both"/>
        <w:rPr>
          <w:rFonts w:ascii="Times New Roman" w:hAnsi="Times New Roman"/>
          <w:i/>
          <w:iCs/>
        </w:rPr>
      </w:pPr>
      <w:r w:rsidRPr="00521627">
        <w:rPr>
          <w:rFonts w:ascii="Times New Roman" w:hAnsi="Times New Roman"/>
          <w:i/>
          <w:iCs/>
        </w:rPr>
        <w:t>b) Las sociedades deben ser constituidas e iniciar su actividad económica antes del 31 de diciembre de 2021.</w:t>
      </w:r>
    </w:p>
    <w:p w14:paraId="045A3BD6" w14:textId="77777777" w:rsidR="00040448" w:rsidRPr="00521627" w:rsidRDefault="00040448" w:rsidP="00C44821">
      <w:pPr>
        <w:spacing w:before="240" w:after="240" w:line="240" w:lineRule="auto"/>
        <w:jc w:val="both"/>
        <w:rPr>
          <w:rFonts w:ascii="Times New Roman" w:hAnsi="Times New Roman"/>
          <w:i/>
          <w:iCs/>
        </w:rPr>
      </w:pPr>
      <w:r w:rsidRPr="00521627">
        <w:rPr>
          <w:rFonts w:ascii="Times New Roman" w:hAnsi="Times New Roman"/>
          <w:i/>
          <w:iCs/>
        </w:rPr>
        <w:t>c) Las actividades que califican para este incentivo son las siguientes:</w:t>
      </w:r>
    </w:p>
    <w:tbl>
      <w:tblPr>
        <w:tblW w:w="8778" w:type="dxa"/>
        <w:jc w:val="center"/>
        <w:tblCellMar>
          <w:left w:w="70" w:type="dxa"/>
          <w:right w:w="70" w:type="dxa"/>
        </w:tblCellMar>
        <w:tblLook w:val="04A0" w:firstRow="1" w:lastRow="0" w:firstColumn="1" w:lastColumn="0" w:noHBand="0" w:noVBand="1"/>
      </w:tblPr>
      <w:tblGrid>
        <w:gridCol w:w="1300"/>
        <w:gridCol w:w="7478"/>
      </w:tblGrid>
      <w:tr w:rsidR="00642B44" w:rsidRPr="00F53530" w14:paraId="045A3BD9" w14:textId="77777777" w:rsidTr="00723518">
        <w:trPr>
          <w:trHeight w:val="600"/>
          <w:tblHeader/>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A3BD7" w14:textId="77777777" w:rsidR="00642B44" w:rsidRPr="00F53530" w:rsidRDefault="00642B44" w:rsidP="00C44821">
            <w:pPr>
              <w:spacing w:after="0" w:line="240" w:lineRule="auto"/>
              <w:jc w:val="center"/>
              <w:rPr>
                <w:rFonts w:ascii="Times New Roman" w:eastAsia="Times New Roman" w:hAnsi="Times New Roman"/>
                <w:b/>
                <w:bCs/>
                <w:i/>
                <w:color w:val="231F20"/>
                <w:lang w:eastAsia="es-CO"/>
              </w:rPr>
            </w:pPr>
            <w:r w:rsidRPr="00F53530">
              <w:rPr>
                <w:rFonts w:ascii="Times New Roman" w:eastAsia="Times New Roman" w:hAnsi="Times New Roman"/>
                <w:b/>
                <w:bCs/>
                <w:i/>
                <w:color w:val="231F20"/>
                <w:lang w:eastAsia="es-CO"/>
              </w:rPr>
              <w:lastRenderedPageBreak/>
              <w:t>CÓDIGO CIIU</w:t>
            </w:r>
          </w:p>
        </w:tc>
        <w:tc>
          <w:tcPr>
            <w:tcW w:w="7478" w:type="dxa"/>
            <w:tcBorders>
              <w:top w:val="single" w:sz="4" w:space="0" w:color="auto"/>
              <w:left w:val="nil"/>
              <w:bottom w:val="single" w:sz="4" w:space="0" w:color="auto"/>
              <w:right w:val="single" w:sz="4" w:space="0" w:color="auto"/>
            </w:tcBorders>
            <w:shd w:val="clear" w:color="auto" w:fill="auto"/>
            <w:vAlign w:val="center"/>
            <w:hideMark/>
          </w:tcPr>
          <w:p w14:paraId="045A3BD8" w14:textId="77777777" w:rsidR="00642B44" w:rsidRPr="00F53530" w:rsidRDefault="00642B44" w:rsidP="00C44821">
            <w:pPr>
              <w:spacing w:after="0" w:line="240" w:lineRule="auto"/>
              <w:jc w:val="center"/>
              <w:rPr>
                <w:rFonts w:ascii="Times New Roman" w:eastAsia="Times New Roman" w:hAnsi="Times New Roman"/>
                <w:b/>
                <w:bCs/>
                <w:i/>
                <w:color w:val="231F20"/>
                <w:lang w:eastAsia="es-CO"/>
              </w:rPr>
            </w:pPr>
            <w:r w:rsidRPr="00F53530">
              <w:rPr>
                <w:rFonts w:ascii="Times New Roman" w:eastAsia="Times New Roman" w:hAnsi="Times New Roman"/>
                <w:b/>
                <w:bCs/>
                <w:i/>
                <w:color w:val="231F20"/>
                <w:lang w:eastAsia="es-CO"/>
              </w:rPr>
              <w:t>DESCRIPCIÓN DE LA ACTIVIDAD</w:t>
            </w:r>
          </w:p>
        </w:tc>
      </w:tr>
      <w:tr w:rsidR="00642B44" w:rsidRPr="00F53530" w14:paraId="045A3BDC"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BDA"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3210</w:t>
            </w:r>
          </w:p>
        </w:tc>
        <w:tc>
          <w:tcPr>
            <w:tcW w:w="7478" w:type="dxa"/>
            <w:tcBorders>
              <w:top w:val="nil"/>
              <w:left w:val="nil"/>
              <w:bottom w:val="single" w:sz="4" w:space="0" w:color="auto"/>
              <w:right w:val="single" w:sz="4" w:space="0" w:color="auto"/>
            </w:tcBorders>
            <w:shd w:val="clear" w:color="auto" w:fill="auto"/>
            <w:vAlign w:val="center"/>
            <w:hideMark/>
          </w:tcPr>
          <w:p w14:paraId="045A3BDB"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Fabricación de joyas, bisutería y artículos conexos</w:t>
            </w:r>
          </w:p>
        </w:tc>
      </w:tr>
      <w:tr w:rsidR="00642B44" w:rsidRPr="00F53530" w14:paraId="045A3BDF"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BDD"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5811</w:t>
            </w:r>
          </w:p>
        </w:tc>
        <w:tc>
          <w:tcPr>
            <w:tcW w:w="7478" w:type="dxa"/>
            <w:tcBorders>
              <w:top w:val="nil"/>
              <w:left w:val="nil"/>
              <w:bottom w:val="single" w:sz="4" w:space="0" w:color="auto"/>
              <w:right w:val="single" w:sz="4" w:space="0" w:color="auto"/>
            </w:tcBorders>
            <w:shd w:val="clear" w:color="auto" w:fill="auto"/>
            <w:vAlign w:val="center"/>
            <w:hideMark/>
          </w:tcPr>
          <w:p w14:paraId="045A3BDE"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Edición de libros.</w:t>
            </w:r>
          </w:p>
        </w:tc>
      </w:tr>
      <w:tr w:rsidR="00642B44" w:rsidRPr="00F53530" w14:paraId="045A3BE2"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BE0"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5820</w:t>
            </w:r>
          </w:p>
        </w:tc>
        <w:tc>
          <w:tcPr>
            <w:tcW w:w="7478" w:type="dxa"/>
            <w:tcBorders>
              <w:top w:val="nil"/>
              <w:left w:val="nil"/>
              <w:bottom w:val="single" w:sz="4" w:space="0" w:color="auto"/>
              <w:right w:val="single" w:sz="4" w:space="0" w:color="auto"/>
            </w:tcBorders>
            <w:shd w:val="clear" w:color="auto" w:fill="auto"/>
            <w:vAlign w:val="center"/>
            <w:hideMark/>
          </w:tcPr>
          <w:p w14:paraId="045A3BE1"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Edición de programas de informática (software)</w:t>
            </w:r>
          </w:p>
        </w:tc>
      </w:tr>
      <w:tr w:rsidR="00642B44" w:rsidRPr="00F53530" w14:paraId="045A3BE5" w14:textId="77777777" w:rsidTr="00723518">
        <w:trPr>
          <w:trHeight w:val="57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BE3"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5911</w:t>
            </w:r>
          </w:p>
        </w:tc>
        <w:tc>
          <w:tcPr>
            <w:tcW w:w="7478" w:type="dxa"/>
            <w:tcBorders>
              <w:top w:val="nil"/>
              <w:left w:val="nil"/>
              <w:bottom w:val="single" w:sz="4" w:space="0" w:color="auto"/>
              <w:right w:val="single" w:sz="4" w:space="0" w:color="auto"/>
            </w:tcBorders>
            <w:shd w:val="clear" w:color="auto" w:fill="auto"/>
            <w:vAlign w:val="center"/>
            <w:hideMark/>
          </w:tcPr>
          <w:p w14:paraId="045A3BE4"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de producción de películas cinematográficas, videos, programas, anuncios y comerciales de televisión.</w:t>
            </w:r>
          </w:p>
        </w:tc>
      </w:tr>
      <w:tr w:rsidR="00642B44" w:rsidRPr="00F53530" w14:paraId="045A3BE8" w14:textId="77777777" w:rsidTr="00723518">
        <w:trPr>
          <w:trHeight w:val="57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BE6"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5912</w:t>
            </w:r>
          </w:p>
        </w:tc>
        <w:tc>
          <w:tcPr>
            <w:tcW w:w="7478" w:type="dxa"/>
            <w:tcBorders>
              <w:top w:val="nil"/>
              <w:left w:val="nil"/>
              <w:bottom w:val="single" w:sz="4" w:space="0" w:color="auto"/>
              <w:right w:val="single" w:sz="4" w:space="0" w:color="auto"/>
            </w:tcBorders>
            <w:shd w:val="clear" w:color="auto" w:fill="auto"/>
            <w:vAlign w:val="center"/>
            <w:hideMark/>
          </w:tcPr>
          <w:p w14:paraId="045A3BE7"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de posproducción de películas cinematográficas, videos, programas, anuncios y comerciales de televisión.</w:t>
            </w:r>
          </w:p>
        </w:tc>
      </w:tr>
      <w:tr w:rsidR="00642B44" w:rsidRPr="00F53530" w14:paraId="045A3BEB" w14:textId="77777777" w:rsidTr="00723518">
        <w:trPr>
          <w:trHeight w:val="57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BE9"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5913</w:t>
            </w:r>
          </w:p>
        </w:tc>
        <w:tc>
          <w:tcPr>
            <w:tcW w:w="7478" w:type="dxa"/>
            <w:tcBorders>
              <w:top w:val="nil"/>
              <w:left w:val="nil"/>
              <w:bottom w:val="single" w:sz="4" w:space="0" w:color="auto"/>
              <w:right w:val="single" w:sz="4" w:space="0" w:color="auto"/>
            </w:tcBorders>
            <w:shd w:val="clear" w:color="auto" w:fill="auto"/>
            <w:vAlign w:val="center"/>
            <w:hideMark/>
          </w:tcPr>
          <w:p w14:paraId="045A3BEA"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de distribución de películas cinematográficas, videos, programas, anuncios y comerciales de televisión.</w:t>
            </w:r>
          </w:p>
        </w:tc>
      </w:tr>
      <w:tr w:rsidR="00642B44" w:rsidRPr="00F53530" w14:paraId="045A3BEE"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BEC"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5914</w:t>
            </w:r>
          </w:p>
        </w:tc>
        <w:tc>
          <w:tcPr>
            <w:tcW w:w="7478" w:type="dxa"/>
            <w:tcBorders>
              <w:top w:val="nil"/>
              <w:left w:val="nil"/>
              <w:bottom w:val="single" w:sz="4" w:space="0" w:color="auto"/>
              <w:right w:val="single" w:sz="4" w:space="0" w:color="auto"/>
            </w:tcBorders>
            <w:shd w:val="clear" w:color="auto" w:fill="auto"/>
            <w:vAlign w:val="center"/>
            <w:hideMark/>
          </w:tcPr>
          <w:p w14:paraId="045A3BED"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de exhibición de películas cinematográficas y videos.</w:t>
            </w:r>
          </w:p>
        </w:tc>
      </w:tr>
      <w:tr w:rsidR="00642B44" w:rsidRPr="00F53530" w14:paraId="045A3BF1"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BEF"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5920</w:t>
            </w:r>
          </w:p>
        </w:tc>
        <w:tc>
          <w:tcPr>
            <w:tcW w:w="7478" w:type="dxa"/>
            <w:tcBorders>
              <w:top w:val="nil"/>
              <w:left w:val="nil"/>
              <w:bottom w:val="single" w:sz="4" w:space="0" w:color="auto"/>
              <w:right w:val="single" w:sz="4" w:space="0" w:color="auto"/>
            </w:tcBorders>
            <w:shd w:val="clear" w:color="auto" w:fill="auto"/>
            <w:vAlign w:val="center"/>
            <w:hideMark/>
          </w:tcPr>
          <w:p w14:paraId="045A3BF0"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de grabación de sonido y edición de música</w:t>
            </w:r>
          </w:p>
        </w:tc>
      </w:tr>
      <w:tr w:rsidR="00642B44" w:rsidRPr="00F53530" w14:paraId="045A3BF4" w14:textId="77777777" w:rsidTr="00723518">
        <w:trPr>
          <w:trHeight w:val="57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BF2"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6010</w:t>
            </w:r>
          </w:p>
        </w:tc>
        <w:tc>
          <w:tcPr>
            <w:tcW w:w="7478" w:type="dxa"/>
            <w:tcBorders>
              <w:top w:val="nil"/>
              <w:left w:val="nil"/>
              <w:bottom w:val="single" w:sz="4" w:space="0" w:color="auto"/>
              <w:right w:val="single" w:sz="4" w:space="0" w:color="auto"/>
            </w:tcBorders>
            <w:shd w:val="clear" w:color="auto" w:fill="auto"/>
            <w:vAlign w:val="center"/>
            <w:hideMark/>
          </w:tcPr>
          <w:p w14:paraId="045A3BF3"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de programación y transmisión en el servicio de radiodifusión sonora</w:t>
            </w:r>
          </w:p>
        </w:tc>
      </w:tr>
      <w:tr w:rsidR="00642B44" w:rsidRPr="00F53530" w14:paraId="045A3BF7"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BF5"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6020</w:t>
            </w:r>
          </w:p>
        </w:tc>
        <w:tc>
          <w:tcPr>
            <w:tcW w:w="7478" w:type="dxa"/>
            <w:tcBorders>
              <w:top w:val="nil"/>
              <w:left w:val="nil"/>
              <w:bottom w:val="single" w:sz="4" w:space="0" w:color="auto"/>
              <w:right w:val="single" w:sz="4" w:space="0" w:color="auto"/>
            </w:tcBorders>
            <w:shd w:val="clear" w:color="auto" w:fill="auto"/>
            <w:vAlign w:val="center"/>
            <w:hideMark/>
          </w:tcPr>
          <w:p w14:paraId="045A3BF6"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de programación y transmisión de televisión</w:t>
            </w:r>
          </w:p>
        </w:tc>
      </w:tr>
      <w:tr w:rsidR="00642B44" w:rsidRPr="00F53530" w14:paraId="045A3BFA" w14:textId="77777777" w:rsidTr="00723518">
        <w:trPr>
          <w:trHeight w:val="57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BF8"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6201</w:t>
            </w:r>
          </w:p>
        </w:tc>
        <w:tc>
          <w:tcPr>
            <w:tcW w:w="7478" w:type="dxa"/>
            <w:tcBorders>
              <w:top w:val="nil"/>
              <w:left w:val="nil"/>
              <w:bottom w:val="single" w:sz="4" w:space="0" w:color="auto"/>
              <w:right w:val="single" w:sz="4" w:space="0" w:color="auto"/>
            </w:tcBorders>
            <w:shd w:val="clear" w:color="auto" w:fill="auto"/>
            <w:vAlign w:val="center"/>
            <w:hideMark/>
          </w:tcPr>
          <w:p w14:paraId="045A3BF9"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de desarrollo de sistemas informáticos (planificación, análisis, diseño, programación, pruebas)</w:t>
            </w:r>
          </w:p>
        </w:tc>
      </w:tr>
      <w:tr w:rsidR="00642B44" w:rsidRPr="00F53530" w14:paraId="045A3BFD" w14:textId="77777777" w:rsidTr="00723518">
        <w:trPr>
          <w:trHeight w:val="57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BFB"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6202</w:t>
            </w:r>
          </w:p>
        </w:tc>
        <w:tc>
          <w:tcPr>
            <w:tcW w:w="7478" w:type="dxa"/>
            <w:tcBorders>
              <w:top w:val="nil"/>
              <w:left w:val="nil"/>
              <w:bottom w:val="single" w:sz="4" w:space="0" w:color="auto"/>
              <w:right w:val="single" w:sz="4" w:space="0" w:color="auto"/>
            </w:tcBorders>
            <w:shd w:val="clear" w:color="auto" w:fill="auto"/>
            <w:vAlign w:val="center"/>
            <w:hideMark/>
          </w:tcPr>
          <w:p w14:paraId="045A3BFC"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de consultoría informática y actividades de administración de instalaciones informáticas.</w:t>
            </w:r>
          </w:p>
        </w:tc>
      </w:tr>
      <w:tr w:rsidR="00642B44" w:rsidRPr="00F53530" w14:paraId="045A3C00" w14:textId="77777777" w:rsidTr="00723518">
        <w:trPr>
          <w:trHeight w:val="57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BFE"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7110</w:t>
            </w:r>
          </w:p>
        </w:tc>
        <w:tc>
          <w:tcPr>
            <w:tcW w:w="7478" w:type="dxa"/>
            <w:tcBorders>
              <w:top w:val="nil"/>
              <w:left w:val="nil"/>
              <w:bottom w:val="single" w:sz="4" w:space="0" w:color="auto"/>
              <w:right w:val="single" w:sz="4" w:space="0" w:color="auto"/>
            </w:tcBorders>
            <w:shd w:val="clear" w:color="auto" w:fill="auto"/>
            <w:vAlign w:val="center"/>
            <w:hideMark/>
          </w:tcPr>
          <w:p w14:paraId="045A3BFF"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de arquitectura e ingeniería y otras actividades conexas de consultoría técnica.</w:t>
            </w:r>
          </w:p>
        </w:tc>
      </w:tr>
      <w:tr w:rsidR="00642B44" w:rsidRPr="00F53530" w14:paraId="045A3C03" w14:textId="77777777" w:rsidTr="00723518">
        <w:trPr>
          <w:trHeight w:val="57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01"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7220</w:t>
            </w:r>
          </w:p>
        </w:tc>
        <w:tc>
          <w:tcPr>
            <w:tcW w:w="7478" w:type="dxa"/>
            <w:tcBorders>
              <w:top w:val="nil"/>
              <w:left w:val="nil"/>
              <w:bottom w:val="single" w:sz="4" w:space="0" w:color="auto"/>
              <w:right w:val="single" w:sz="4" w:space="0" w:color="auto"/>
            </w:tcBorders>
            <w:shd w:val="clear" w:color="auto" w:fill="auto"/>
            <w:vAlign w:val="center"/>
            <w:hideMark/>
          </w:tcPr>
          <w:p w14:paraId="045A3C02"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Investigaciones y desarrollo experimental en el campo de las ciencias sociales y las humanidades</w:t>
            </w:r>
          </w:p>
        </w:tc>
      </w:tr>
      <w:tr w:rsidR="00642B44" w:rsidRPr="00F53530" w14:paraId="045A3C06"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04"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7410</w:t>
            </w:r>
          </w:p>
        </w:tc>
        <w:tc>
          <w:tcPr>
            <w:tcW w:w="7478" w:type="dxa"/>
            <w:tcBorders>
              <w:top w:val="nil"/>
              <w:left w:val="nil"/>
              <w:bottom w:val="single" w:sz="4" w:space="0" w:color="auto"/>
              <w:right w:val="single" w:sz="4" w:space="0" w:color="auto"/>
            </w:tcBorders>
            <w:shd w:val="clear" w:color="auto" w:fill="auto"/>
            <w:vAlign w:val="center"/>
            <w:hideMark/>
          </w:tcPr>
          <w:p w14:paraId="045A3C05"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especializadas de diseño</w:t>
            </w:r>
          </w:p>
        </w:tc>
      </w:tr>
      <w:tr w:rsidR="00642B44" w:rsidRPr="00F53530" w14:paraId="045A3C09"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07"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7420</w:t>
            </w:r>
          </w:p>
        </w:tc>
        <w:tc>
          <w:tcPr>
            <w:tcW w:w="7478" w:type="dxa"/>
            <w:tcBorders>
              <w:top w:val="nil"/>
              <w:left w:val="nil"/>
              <w:bottom w:val="single" w:sz="4" w:space="0" w:color="auto"/>
              <w:right w:val="single" w:sz="4" w:space="0" w:color="auto"/>
            </w:tcBorders>
            <w:shd w:val="clear" w:color="auto" w:fill="auto"/>
            <w:vAlign w:val="center"/>
            <w:hideMark/>
          </w:tcPr>
          <w:p w14:paraId="045A3C08"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de fotografía</w:t>
            </w:r>
          </w:p>
        </w:tc>
      </w:tr>
      <w:tr w:rsidR="00642B44" w:rsidRPr="00F53530" w14:paraId="045A3C0C"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0A"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9001</w:t>
            </w:r>
          </w:p>
        </w:tc>
        <w:tc>
          <w:tcPr>
            <w:tcW w:w="7478" w:type="dxa"/>
            <w:tcBorders>
              <w:top w:val="nil"/>
              <w:left w:val="nil"/>
              <w:bottom w:val="single" w:sz="4" w:space="0" w:color="auto"/>
              <w:right w:val="single" w:sz="4" w:space="0" w:color="auto"/>
            </w:tcBorders>
            <w:shd w:val="clear" w:color="auto" w:fill="auto"/>
            <w:vAlign w:val="center"/>
            <w:hideMark/>
          </w:tcPr>
          <w:p w14:paraId="045A3C0B"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Creación literaria</w:t>
            </w:r>
          </w:p>
        </w:tc>
      </w:tr>
      <w:tr w:rsidR="00642B44" w:rsidRPr="00F53530" w14:paraId="045A3C0F"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0D"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9002</w:t>
            </w:r>
          </w:p>
        </w:tc>
        <w:tc>
          <w:tcPr>
            <w:tcW w:w="7478" w:type="dxa"/>
            <w:tcBorders>
              <w:top w:val="nil"/>
              <w:left w:val="nil"/>
              <w:bottom w:val="single" w:sz="4" w:space="0" w:color="auto"/>
              <w:right w:val="single" w:sz="4" w:space="0" w:color="auto"/>
            </w:tcBorders>
            <w:shd w:val="clear" w:color="auto" w:fill="auto"/>
            <w:vAlign w:val="center"/>
            <w:hideMark/>
          </w:tcPr>
          <w:p w14:paraId="045A3C0E"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Creación musical</w:t>
            </w:r>
          </w:p>
        </w:tc>
      </w:tr>
      <w:tr w:rsidR="00642B44" w:rsidRPr="00F53530" w14:paraId="045A3C12"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10"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9003</w:t>
            </w:r>
          </w:p>
        </w:tc>
        <w:tc>
          <w:tcPr>
            <w:tcW w:w="7478" w:type="dxa"/>
            <w:tcBorders>
              <w:top w:val="nil"/>
              <w:left w:val="nil"/>
              <w:bottom w:val="single" w:sz="4" w:space="0" w:color="auto"/>
              <w:right w:val="single" w:sz="4" w:space="0" w:color="auto"/>
            </w:tcBorders>
            <w:shd w:val="clear" w:color="auto" w:fill="auto"/>
            <w:vAlign w:val="center"/>
            <w:hideMark/>
          </w:tcPr>
          <w:p w14:paraId="045A3C11"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Creación teatral</w:t>
            </w:r>
          </w:p>
        </w:tc>
      </w:tr>
      <w:tr w:rsidR="00642B44" w:rsidRPr="00F53530" w14:paraId="045A3C15"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13"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9004</w:t>
            </w:r>
          </w:p>
        </w:tc>
        <w:tc>
          <w:tcPr>
            <w:tcW w:w="7478" w:type="dxa"/>
            <w:tcBorders>
              <w:top w:val="nil"/>
              <w:left w:val="nil"/>
              <w:bottom w:val="single" w:sz="4" w:space="0" w:color="auto"/>
              <w:right w:val="single" w:sz="4" w:space="0" w:color="auto"/>
            </w:tcBorders>
            <w:shd w:val="clear" w:color="auto" w:fill="auto"/>
            <w:vAlign w:val="center"/>
            <w:hideMark/>
          </w:tcPr>
          <w:p w14:paraId="045A3C14"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Creación audiovisual</w:t>
            </w:r>
          </w:p>
        </w:tc>
      </w:tr>
      <w:tr w:rsidR="00642B44" w:rsidRPr="00F53530" w14:paraId="045A3C18"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16"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9005</w:t>
            </w:r>
          </w:p>
        </w:tc>
        <w:tc>
          <w:tcPr>
            <w:tcW w:w="7478" w:type="dxa"/>
            <w:tcBorders>
              <w:top w:val="nil"/>
              <w:left w:val="nil"/>
              <w:bottom w:val="single" w:sz="4" w:space="0" w:color="auto"/>
              <w:right w:val="single" w:sz="4" w:space="0" w:color="auto"/>
            </w:tcBorders>
            <w:shd w:val="clear" w:color="auto" w:fill="auto"/>
            <w:vAlign w:val="center"/>
            <w:hideMark/>
          </w:tcPr>
          <w:p w14:paraId="045A3C17"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Artes plásticas y visuales</w:t>
            </w:r>
          </w:p>
        </w:tc>
      </w:tr>
      <w:tr w:rsidR="00642B44" w:rsidRPr="00F53530" w14:paraId="045A3C1B"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19"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9006</w:t>
            </w:r>
          </w:p>
        </w:tc>
        <w:tc>
          <w:tcPr>
            <w:tcW w:w="7478" w:type="dxa"/>
            <w:tcBorders>
              <w:top w:val="nil"/>
              <w:left w:val="nil"/>
              <w:bottom w:val="single" w:sz="4" w:space="0" w:color="auto"/>
              <w:right w:val="single" w:sz="4" w:space="0" w:color="auto"/>
            </w:tcBorders>
            <w:shd w:val="clear" w:color="auto" w:fill="auto"/>
            <w:vAlign w:val="center"/>
            <w:hideMark/>
          </w:tcPr>
          <w:p w14:paraId="045A3C1A"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teatrales</w:t>
            </w:r>
          </w:p>
        </w:tc>
      </w:tr>
      <w:tr w:rsidR="00642B44" w:rsidRPr="00F53530" w14:paraId="045A3C1E"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1C"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9007</w:t>
            </w:r>
          </w:p>
        </w:tc>
        <w:tc>
          <w:tcPr>
            <w:tcW w:w="7478" w:type="dxa"/>
            <w:tcBorders>
              <w:top w:val="nil"/>
              <w:left w:val="nil"/>
              <w:bottom w:val="single" w:sz="4" w:space="0" w:color="auto"/>
              <w:right w:val="single" w:sz="4" w:space="0" w:color="auto"/>
            </w:tcBorders>
            <w:shd w:val="clear" w:color="auto" w:fill="auto"/>
            <w:vAlign w:val="center"/>
            <w:hideMark/>
          </w:tcPr>
          <w:p w14:paraId="045A3C1D"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de espectáculos musicales en vivo</w:t>
            </w:r>
          </w:p>
        </w:tc>
      </w:tr>
      <w:tr w:rsidR="00642B44" w:rsidRPr="00F53530" w14:paraId="045A3C21"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1F"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9008</w:t>
            </w:r>
          </w:p>
        </w:tc>
        <w:tc>
          <w:tcPr>
            <w:tcW w:w="7478" w:type="dxa"/>
            <w:tcBorders>
              <w:top w:val="nil"/>
              <w:left w:val="nil"/>
              <w:bottom w:val="single" w:sz="4" w:space="0" w:color="auto"/>
              <w:right w:val="single" w:sz="4" w:space="0" w:color="auto"/>
            </w:tcBorders>
            <w:shd w:val="clear" w:color="auto" w:fill="auto"/>
            <w:vAlign w:val="center"/>
            <w:hideMark/>
          </w:tcPr>
          <w:p w14:paraId="045A3C20"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Otras actividades de espectáculos en vivo</w:t>
            </w:r>
          </w:p>
        </w:tc>
      </w:tr>
      <w:tr w:rsidR="00642B44" w:rsidRPr="00F53530" w14:paraId="045A3C24"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22"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9101</w:t>
            </w:r>
          </w:p>
        </w:tc>
        <w:tc>
          <w:tcPr>
            <w:tcW w:w="7478" w:type="dxa"/>
            <w:tcBorders>
              <w:top w:val="nil"/>
              <w:left w:val="nil"/>
              <w:bottom w:val="single" w:sz="4" w:space="0" w:color="auto"/>
              <w:right w:val="single" w:sz="4" w:space="0" w:color="auto"/>
            </w:tcBorders>
            <w:shd w:val="clear" w:color="auto" w:fill="auto"/>
            <w:vAlign w:val="center"/>
            <w:hideMark/>
          </w:tcPr>
          <w:p w14:paraId="045A3C23"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de bibliotecas y archivos</w:t>
            </w:r>
          </w:p>
        </w:tc>
      </w:tr>
      <w:tr w:rsidR="00642B44" w:rsidRPr="00F53530" w14:paraId="045A3C27" w14:textId="77777777" w:rsidTr="00723518">
        <w:trPr>
          <w:trHeight w:val="546"/>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25" w14:textId="77777777" w:rsidR="00642B44" w:rsidRPr="00F53530" w:rsidRDefault="00642B44"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9102</w:t>
            </w:r>
          </w:p>
        </w:tc>
        <w:tc>
          <w:tcPr>
            <w:tcW w:w="7478" w:type="dxa"/>
            <w:tcBorders>
              <w:top w:val="nil"/>
              <w:left w:val="nil"/>
              <w:bottom w:val="single" w:sz="4" w:space="0" w:color="auto"/>
              <w:right w:val="single" w:sz="4" w:space="0" w:color="auto"/>
            </w:tcBorders>
            <w:shd w:val="clear" w:color="auto" w:fill="auto"/>
            <w:vAlign w:val="center"/>
            <w:hideMark/>
          </w:tcPr>
          <w:p w14:paraId="045A3C26" w14:textId="77777777" w:rsidR="00642B44" w:rsidRPr="00F53530" w:rsidRDefault="00642B44" w:rsidP="00C44821">
            <w:pPr>
              <w:spacing w:after="0" w:line="240" w:lineRule="auto"/>
              <w:jc w:val="both"/>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Actividades y funcionamiento de museos, conservación de edificios y sitios históricos</w:t>
            </w:r>
          </w:p>
        </w:tc>
      </w:tr>
      <w:tr w:rsidR="00642B44" w:rsidRPr="00F53530" w14:paraId="045A3C2A" w14:textId="77777777" w:rsidTr="00723518">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45A3C28" w14:textId="77777777" w:rsidR="00642B44" w:rsidRPr="00F53530" w:rsidRDefault="00642B44" w:rsidP="00C44821">
            <w:pPr>
              <w:spacing w:after="0" w:line="240" w:lineRule="auto"/>
              <w:jc w:val="center"/>
              <w:rPr>
                <w:rFonts w:ascii="Times New Roman" w:eastAsia="Times New Roman" w:hAnsi="Times New Roman"/>
                <w:i/>
                <w:color w:val="000000"/>
                <w:lang w:eastAsia="es-CO"/>
              </w:rPr>
            </w:pPr>
          </w:p>
        </w:tc>
        <w:tc>
          <w:tcPr>
            <w:tcW w:w="7478" w:type="dxa"/>
            <w:tcBorders>
              <w:top w:val="nil"/>
              <w:left w:val="nil"/>
              <w:bottom w:val="single" w:sz="4" w:space="0" w:color="auto"/>
              <w:right w:val="single" w:sz="4" w:space="0" w:color="auto"/>
            </w:tcBorders>
            <w:shd w:val="clear" w:color="auto" w:fill="auto"/>
            <w:vAlign w:val="center"/>
            <w:hideMark/>
          </w:tcPr>
          <w:p w14:paraId="045A3C29"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referentes al turismo cultural.</w:t>
            </w:r>
          </w:p>
        </w:tc>
      </w:tr>
      <w:tr w:rsidR="00642B44" w:rsidRPr="00F53530" w14:paraId="045A3C2D" w14:textId="77777777" w:rsidTr="00723518">
        <w:trPr>
          <w:trHeight w:val="57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45A3C2B" w14:textId="77777777" w:rsidR="00642B44" w:rsidRPr="00F53530" w:rsidRDefault="00642B44" w:rsidP="00C44821">
            <w:pPr>
              <w:spacing w:after="0" w:line="240" w:lineRule="auto"/>
              <w:jc w:val="center"/>
              <w:rPr>
                <w:rFonts w:ascii="Times New Roman" w:eastAsia="Times New Roman" w:hAnsi="Times New Roman"/>
                <w:i/>
                <w:color w:val="000000"/>
                <w:lang w:eastAsia="es-CO"/>
              </w:rPr>
            </w:pPr>
          </w:p>
        </w:tc>
        <w:tc>
          <w:tcPr>
            <w:tcW w:w="7478" w:type="dxa"/>
            <w:tcBorders>
              <w:top w:val="nil"/>
              <w:left w:val="nil"/>
              <w:bottom w:val="single" w:sz="4" w:space="0" w:color="auto"/>
              <w:right w:val="single" w:sz="4" w:space="0" w:color="auto"/>
            </w:tcBorders>
            <w:shd w:val="clear" w:color="auto" w:fill="auto"/>
            <w:vAlign w:val="center"/>
            <w:hideMark/>
          </w:tcPr>
          <w:p w14:paraId="045A3C2C" w14:textId="77777777" w:rsidR="00642B44" w:rsidRPr="00F53530" w:rsidRDefault="00642B44"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Actividades relacionadas con Deporte, recreación y aprovechamiento del tiempo libre.</w:t>
            </w:r>
          </w:p>
        </w:tc>
      </w:tr>
    </w:tbl>
    <w:p w14:paraId="045A3C2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d) Las sociedades deben cumplir con los montos mínimos de empleo que defina el Gobierno nacional, que en ningún caso puede ser inferior a tres (3) empleados. Los empleos que se tienen en cuenta para la exención en renta son aquellos relacionados directamente con las industrias de valor agregado </w:t>
      </w:r>
      <w:r w:rsidRPr="00F53530">
        <w:rPr>
          <w:rFonts w:ascii="Times New Roman" w:hAnsi="Times New Roman"/>
          <w:i/>
        </w:rPr>
        <w:lastRenderedPageBreak/>
        <w:t>tecnológico y actividades creativas. Los administradores de la sociedad no califican como empleados para efectos de la presente exención en renta.</w:t>
      </w:r>
    </w:p>
    <w:p w14:paraId="045A3C2F" w14:textId="6E6CF748"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e) </w:t>
      </w:r>
      <w:r w:rsidR="00BC5D11" w:rsidRPr="00241CD4">
        <w:rPr>
          <w:rFonts w:ascii="Times New Roman" w:hAnsi="Times New Roman"/>
          <w:b/>
          <w:bCs/>
          <w:i/>
          <w:iCs/>
          <w:shd w:val="clear" w:color="auto" w:fill="FFFFFF"/>
        </w:rPr>
        <w:t>(Aparte</w:t>
      </w:r>
      <w:r w:rsidR="00BC5D11">
        <w:rPr>
          <w:rFonts w:ascii="Times New Roman" w:hAnsi="Times New Roman"/>
          <w:b/>
          <w:bCs/>
          <w:i/>
          <w:iCs/>
          <w:shd w:val="clear" w:color="auto" w:fill="FFFFFF"/>
        </w:rPr>
        <w:t>s</w:t>
      </w:r>
      <w:r w:rsidR="00BC5D11" w:rsidRPr="00241CD4">
        <w:rPr>
          <w:rFonts w:ascii="Times New Roman" w:hAnsi="Times New Roman"/>
          <w:b/>
          <w:bCs/>
          <w:i/>
          <w:iCs/>
          <w:shd w:val="clear" w:color="auto" w:fill="FFFFFF"/>
        </w:rPr>
        <w:t xml:space="preserve"> </w:t>
      </w:r>
      <w:r w:rsidR="00BC5D11">
        <w:rPr>
          <w:rFonts w:ascii="Times New Roman" w:hAnsi="Times New Roman"/>
          <w:b/>
          <w:bCs/>
          <w:i/>
          <w:iCs/>
          <w:shd w:val="clear" w:color="auto" w:fill="FFFFFF"/>
        </w:rPr>
        <w:t>subrayados</w:t>
      </w:r>
      <w:r w:rsidR="00BC5D11" w:rsidRPr="00241CD4">
        <w:rPr>
          <w:rFonts w:ascii="Times New Roman" w:hAnsi="Times New Roman"/>
          <w:b/>
          <w:bCs/>
          <w:i/>
          <w:iCs/>
          <w:shd w:val="clear" w:color="auto" w:fill="FFFFFF"/>
        </w:rPr>
        <w:t xml:space="preserve"> modificado</w:t>
      </w:r>
      <w:r w:rsidR="00BC5D11">
        <w:rPr>
          <w:rFonts w:ascii="Times New Roman" w:hAnsi="Times New Roman"/>
          <w:b/>
          <w:bCs/>
          <w:i/>
          <w:iCs/>
          <w:shd w:val="clear" w:color="auto" w:fill="FFFFFF"/>
        </w:rPr>
        <w:t>s</w:t>
      </w:r>
      <w:r w:rsidR="00BC5D11" w:rsidRPr="00241CD4">
        <w:rPr>
          <w:rFonts w:ascii="Times New Roman" w:hAnsi="Times New Roman"/>
          <w:b/>
          <w:bCs/>
          <w:i/>
          <w:iCs/>
          <w:shd w:val="clear" w:color="auto" w:fill="FFFFFF"/>
        </w:rPr>
        <w:t xml:space="preserve"> por el artículo 3 de la </w:t>
      </w:r>
      <w:hyperlink r:id="rId70" w:history="1">
        <w:r w:rsidR="00BC5D11" w:rsidRPr="00241CD4">
          <w:rPr>
            <w:rStyle w:val="Hipervnculo"/>
            <w:rFonts w:ascii="Times New Roman" w:hAnsi="Times New Roman"/>
            <w:b/>
            <w:bCs/>
            <w:i/>
            <w:iCs/>
            <w:shd w:val="clear" w:color="auto" w:fill="FFFFFF"/>
          </w:rPr>
          <w:t xml:space="preserve">Ley </w:t>
        </w:r>
        <w:r w:rsidR="00BC5D11" w:rsidRPr="00241CD4">
          <w:rPr>
            <w:rStyle w:val="Hipervnculo"/>
            <w:rFonts w:ascii="Times New Roman" w:hAnsi="Times New Roman"/>
            <w:b/>
            <w:i/>
            <w:iCs/>
            <w:lang w:val="es-MX" w:eastAsia="es-MX"/>
          </w:rPr>
          <w:t>2319 de 29 de agosto de 2023</w:t>
        </w:r>
      </w:hyperlink>
      <w:r w:rsidR="00BC5D11" w:rsidRPr="00241CD4">
        <w:rPr>
          <w:rFonts w:ascii="Times New Roman" w:hAnsi="Times New Roman"/>
          <w:b/>
          <w:i/>
          <w:iCs/>
          <w:lang w:val="es-MX" w:eastAsia="es-MX"/>
        </w:rPr>
        <w:t>)</w:t>
      </w:r>
      <w:r w:rsidR="00BC5D11">
        <w:rPr>
          <w:rFonts w:ascii="Times New Roman" w:hAnsi="Times New Roman"/>
          <w:b/>
          <w:i/>
          <w:iCs/>
          <w:lang w:val="es-MX" w:eastAsia="es-MX"/>
        </w:rPr>
        <w:t xml:space="preserve">. </w:t>
      </w:r>
      <w:r w:rsidRPr="00F53530">
        <w:rPr>
          <w:rFonts w:ascii="Times New Roman" w:hAnsi="Times New Roman"/>
          <w:i/>
        </w:rPr>
        <w:t xml:space="preserve">Las sociedades deben presentar su proyecto de inversión ante el Comité de </w:t>
      </w:r>
      <w:r w:rsidR="00BC5D11" w:rsidRPr="00BC5D11">
        <w:rPr>
          <w:rFonts w:ascii="Times New Roman" w:hAnsi="Times New Roman"/>
          <w:i/>
          <w:iCs/>
          <w:u w:val="single"/>
        </w:rPr>
        <w:t>Economía Cultural y Creativa</w:t>
      </w:r>
      <w:r w:rsidRPr="00F53530">
        <w:rPr>
          <w:rFonts w:ascii="Times New Roman" w:hAnsi="Times New Roman"/>
          <w:i/>
        </w:rPr>
        <w:t xml:space="preserve"> del Ministerio de Cultura, justificando su viabilidad financiera, conveniencia económica y calificación como actividad de </w:t>
      </w:r>
      <w:r w:rsidR="00BC5D11" w:rsidRPr="00BC5D11">
        <w:rPr>
          <w:rFonts w:ascii="Times New Roman" w:hAnsi="Times New Roman"/>
          <w:i/>
          <w:iCs/>
          <w:u w:val="single"/>
        </w:rPr>
        <w:t>Economía Cultural y Creativa</w:t>
      </w:r>
      <w:r w:rsidRPr="00F53530">
        <w:rPr>
          <w:rFonts w:ascii="Times New Roman" w:hAnsi="Times New Roman"/>
          <w:i/>
        </w:rPr>
        <w:t>. El Ministerio debe emitir un acto de conformidad con el proyecto y confirmar el desarrollo de industrias de valor agregado tecnológico y actividades creativas.</w:t>
      </w:r>
    </w:p>
    <w:p w14:paraId="045A3C3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f) Las sociedades deben cumplir con los montos mínimos de inversión en los términos que defina el Gobierno nacional, que en ningún caso pueden ser inferiores a cuatro mil cuatrocientas (4.400) UVT y en un plazo máximo de tres (3) años gravables. En caso de que no se logre el monto de inversión se pierde el beneficio a partir del tercer año, inclusive.</w:t>
      </w:r>
    </w:p>
    <w:p w14:paraId="045A3C3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g) Los usuarios de zona franca podrán aplicar a los beneficios establecidos en este numeral, siempre y cuando cumplan con todos los requisitos señalados en este artículo para efectos de acceder a esta exención.</w:t>
      </w:r>
    </w:p>
    <w:p w14:paraId="045A3C3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Incentivo tributario para el desarrollo del campo colombiano. Las rentas provenientes de inversiones que incrementen la productividad en el sector agropecuario, por un término de diez (10) años, contados, inclusive, a partir del año en que el Ministerio de Agricultura y Desarrollo Rural emita el acto de conformidad, siempre que cumplan los siguientes requisitos:</w:t>
      </w:r>
    </w:p>
    <w:p w14:paraId="045A3C3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Las sociedades deben tener por objeto social alguna de las actividades que incrementan la productividad del sector agropecuario. Las actividades comprendidas son aquellas señaladas en la Clasificación Industrial Internacional Uniforme (CIIU), Sección A, división 01, división 02, división 03; Sección C, división 10 y división 11, adoptada en Colombia mediante Resolución de la Dirección de Impuestos y Aduanas Nacionales (DIAN).</w:t>
      </w:r>
    </w:p>
    <w:p w14:paraId="045A3C34" w14:textId="421495A4"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b) Las sociedades deben </w:t>
      </w:r>
      <w:r w:rsidR="00D74122" w:rsidRPr="00D74122">
        <w:rPr>
          <w:rFonts w:ascii="Times New Roman" w:hAnsi="Times New Roman"/>
          <w:b/>
          <w:i/>
        </w:rPr>
        <w:t>{</w:t>
      </w:r>
      <w:r w:rsidRPr="00D74122">
        <w:rPr>
          <w:rFonts w:ascii="Times New Roman" w:hAnsi="Times New Roman"/>
          <w:b/>
          <w:i/>
        </w:rPr>
        <w:t xml:space="preserve">constituirse a partir de la entrada en vigencia de la </w:t>
      </w:r>
      <w:hyperlink r:id="rId71" w:history="1">
        <w:r w:rsidRPr="00D74122">
          <w:rPr>
            <w:rStyle w:val="Hipervnculo"/>
            <w:rFonts w:ascii="Times New Roman" w:hAnsi="Times New Roman"/>
            <w:b/>
            <w:i/>
          </w:rPr>
          <w:t>Ley 1943 de 2018</w:t>
        </w:r>
      </w:hyperlink>
      <w:r w:rsidRPr="00D74122">
        <w:rPr>
          <w:rFonts w:ascii="Times New Roman" w:hAnsi="Times New Roman"/>
          <w:b/>
          <w:i/>
        </w:rPr>
        <w:t xml:space="preserve"> e</w:t>
      </w:r>
      <w:r w:rsidR="00D74122">
        <w:rPr>
          <w:rFonts w:ascii="Times New Roman" w:hAnsi="Times New Roman"/>
          <w:b/>
          <w:i/>
        </w:rPr>
        <w:t>}</w:t>
      </w:r>
      <w:r w:rsidRPr="00F53530">
        <w:rPr>
          <w:rFonts w:ascii="Times New Roman" w:hAnsi="Times New Roman"/>
          <w:i/>
        </w:rPr>
        <w:t xml:space="preserve"> iniciar su actividad económica antes del 31 de diciembre de 2022.</w:t>
      </w:r>
    </w:p>
    <w:p w14:paraId="045A3C3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Los beneficiarios de esta renta exenta deberán acreditar la contratación directa a través de contrato laboral de un mínimo de empleados con vocación de permanencia que desempeñen funciones relacionadas directamente con las actividades de que trata este artículo. El número mínimo de empleos requerido tendrá relación directa con los ingresos brutos obtenidos en el respectivo año gravable y se requerirá de una inversión mínima en un periodo de seis (6) años en propiedad, planta y equipo. Lo anterior, de conformidad con la reglamentación que expida el Gobierno nacional, dentro los parámetros fijados en la siguiente tabla:</w:t>
      </w:r>
    </w:p>
    <w:tbl>
      <w:tblPr>
        <w:tblW w:w="7800" w:type="dxa"/>
        <w:jc w:val="center"/>
        <w:tblCellMar>
          <w:left w:w="70" w:type="dxa"/>
          <w:right w:w="70" w:type="dxa"/>
        </w:tblCellMar>
        <w:tblLook w:val="04A0" w:firstRow="1" w:lastRow="0" w:firstColumn="1" w:lastColumn="0" w:noHBand="0" w:noVBand="1"/>
      </w:tblPr>
      <w:tblGrid>
        <w:gridCol w:w="1300"/>
        <w:gridCol w:w="1300"/>
        <w:gridCol w:w="2078"/>
        <w:gridCol w:w="1822"/>
        <w:gridCol w:w="1300"/>
      </w:tblGrid>
      <w:tr w:rsidR="00221338" w:rsidRPr="00F53530" w14:paraId="045A3C3A" w14:textId="77777777" w:rsidTr="00A71B2B">
        <w:trPr>
          <w:trHeight w:val="765"/>
          <w:tblHeader/>
          <w:jc w:val="center"/>
        </w:trPr>
        <w:tc>
          <w:tcPr>
            <w:tcW w:w="1300"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045A3C36"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r w:rsidRPr="00F53530">
              <w:rPr>
                <w:rFonts w:ascii="Times New Roman" w:eastAsia="Times New Roman" w:hAnsi="Times New Roman"/>
                <w:b/>
                <w:bCs/>
                <w:i/>
                <w:color w:val="231F20"/>
                <w:lang w:val="es-ES" w:eastAsia="es-CO"/>
              </w:rPr>
              <w:lastRenderedPageBreak/>
              <w:t>Grupo</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45A3C37"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r w:rsidRPr="00F53530">
              <w:rPr>
                <w:rFonts w:ascii="Times New Roman" w:eastAsia="Times New Roman" w:hAnsi="Times New Roman"/>
                <w:b/>
                <w:bCs/>
                <w:i/>
                <w:color w:val="231F20"/>
                <w:lang w:val="es-ES" w:eastAsia="es-CO"/>
              </w:rPr>
              <w:t>Monto mínimo de inversión en UVT durante los seis (6) primeros años</w:t>
            </w:r>
          </w:p>
        </w:tc>
        <w:tc>
          <w:tcPr>
            <w:tcW w:w="3900" w:type="dxa"/>
            <w:gridSpan w:val="2"/>
            <w:vMerge w:val="restart"/>
            <w:tcBorders>
              <w:top w:val="single" w:sz="4" w:space="0" w:color="auto"/>
              <w:left w:val="single" w:sz="4" w:space="0" w:color="auto"/>
              <w:bottom w:val="single" w:sz="4" w:space="0" w:color="000000"/>
              <w:right w:val="single" w:sz="4" w:space="0" w:color="000000"/>
            </w:tcBorders>
            <w:shd w:val="clear" w:color="auto" w:fill="BFBFBF"/>
            <w:vAlign w:val="center"/>
            <w:hideMark/>
          </w:tcPr>
          <w:p w14:paraId="045A3C38" w14:textId="77777777" w:rsidR="00221338" w:rsidRPr="00F53530" w:rsidRDefault="00221338"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val="es-ES" w:eastAsia="es-CO"/>
              </w:rPr>
              <w:t>Ingresos en UVT durante el respectivo año gravable</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045A3C39"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r w:rsidRPr="00F53530">
              <w:rPr>
                <w:rFonts w:ascii="Times New Roman" w:eastAsia="Times New Roman" w:hAnsi="Times New Roman"/>
                <w:b/>
                <w:bCs/>
                <w:i/>
                <w:color w:val="231F20"/>
                <w:lang w:val="es-ES" w:eastAsia="es-CO"/>
              </w:rPr>
              <w:t>Mínimo de empleos directos</w:t>
            </w:r>
          </w:p>
        </w:tc>
      </w:tr>
      <w:tr w:rsidR="00221338" w:rsidRPr="00F53530" w14:paraId="045A3C3F" w14:textId="77777777" w:rsidTr="00A71B2B">
        <w:trPr>
          <w:trHeight w:val="300"/>
          <w:tblHeader/>
          <w:jc w:val="center"/>
        </w:trPr>
        <w:tc>
          <w:tcPr>
            <w:tcW w:w="1300"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045A3C3B"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p>
        </w:tc>
        <w:tc>
          <w:tcPr>
            <w:tcW w:w="1300"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045A3C3C"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p>
        </w:tc>
        <w:tc>
          <w:tcPr>
            <w:tcW w:w="3900" w:type="dxa"/>
            <w:gridSpan w:val="2"/>
            <w:vMerge/>
            <w:tcBorders>
              <w:top w:val="single" w:sz="4" w:space="0" w:color="auto"/>
              <w:left w:val="single" w:sz="4" w:space="0" w:color="auto"/>
              <w:bottom w:val="single" w:sz="4" w:space="0" w:color="000000"/>
              <w:right w:val="single" w:sz="4" w:space="0" w:color="000000"/>
            </w:tcBorders>
            <w:shd w:val="clear" w:color="auto" w:fill="BFBFBF"/>
            <w:vAlign w:val="center"/>
            <w:hideMark/>
          </w:tcPr>
          <w:p w14:paraId="045A3C3D" w14:textId="77777777" w:rsidR="00221338" w:rsidRPr="00F53530" w:rsidRDefault="00221338" w:rsidP="00C44821">
            <w:pPr>
              <w:spacing w:after="0" w:line="240" w:lineRule="auto"/>
              <w:jc w:val="center"/>
              <w:rPr>
                <w:rFonts w:ascii="Times New Roman" w:eastAsia="Times New Roman" w:hAnsi="Times New Roman"/>
                <w:b/>
                <w:bCs/>
                <w:i/>
                <w:color w:val="000000"/>
                <w:lang w:eastAsia="es-CO"/>
              </w:rPr>
            </w:pPr>
          </w:p>
        </w:tc>
        <w:tc>
          <w:tcPr>
            <w:tcW w:w="1300"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045A3C3E"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p>
        </w:tc>
      </w:tr>
      <w:tr w:rsidR="00221338" w:rsidRPr="00F53530" w14:paraId="045A3C44" w14:textId="77777777" w:rsidTr="00A71B2B">
        <w:trPr>
          <w:trHeight w:val="855"/>
          <w:tblHeader/>
          <w:jc w:val="center"/>
        </w:trPr>
        <w:tc>
          <w:tcPr>
            <w:tcW w:w="1300"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045A3C40"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p>
        </w:tc>
        <w:tc>
          <w:tcPr>
            <w:tcW w:w="1300"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045A3C41"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p>
        </w:tc>
        <w:tc>
          <w:tcPr>
            <w:tcW w:w="3900" w:type="dxa"/>
            <w:gridSpan w:val="2"/>
            <w:vMerge/>
            <w:tcBorders>
              <w:top w:val="single" w:sz="4" w:space="0" w:color="auto"/>
              <w:left w:val="single" w:sz="4" w:space="0" w:color="auto"/>
              <w:bottom w:val="single" w:sz="4" w:space="0" w:color="000000"/>
              <w:right w:val="single" w:sz="4" w:space="0" w:color="000000"/>
            </w:tcBorders>
            <w:shd w:val="clear" w:color="auto" w:fill="BFBFBF"/>
            <w:vAlign w:val="center"/>
            <w:hideMark/>
          </w:tcPr>
          <w:p w14:paraId="045A3C42" w14:textId="77777777" w:rsidR="00221338" w:rsidRPr="00F53530" w:rsidRDefault="00221338" w:rsidP="00C44821">
            <w:pPr>
              <w:spacing w:after="0" w:line="240" w:lineRule="auto"/>
              <w:jc w:val="center"/>
              <w:rPr>
                <w:rFonts w:ascii="Times New Roman" w:eastAsia="Times New Roman" w:hAnsi="Times New Roman"/>
                <w:b/>
                <w:bCs/>
                <w:i/>
                <w:color w:val="000000"/>
                <w:lang w:eastAsia="es-CO"/>
              </w:rPr>
            </w:pPr>
          </w:p>
        </w:tc>
        <w:tc>
          <w:tcPr>
            <w:tcW w:w="1300"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045A3C43"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p>
        </w:tc>
      </w:tr>
      <w:tr w:rsidR="00221338" w:rsidRPr="00F53530" w14:paraId="045A3C49" w14:textId="77777777" w:rsidTr="00A71B2B">
        <w:trPr>
          <w:trHeight w:val="585"/>
          <w:tblHeader/>
          <w:jc w:val="center"/>
        </w:trPr>
        <w:tc>
          <w:tcPr>
            <w:tcW w:w="1300"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045A3C45"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p>
        </w:tc>
        <w:tc>
          <w:tcPr>
            <w:tcW w:w="1300"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045A3C46"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p>
        </w:tc>
        <w:tc>
          <w:tcPr>
            <w:tcW w:w="3900" w:type="dxa"/>
            <w:gridSpan w:val="2"/>
            <w:vMerge/>
            <w:tcBorders>
              <w:top w:val="single" w:sz="4" w:space="0" w:color="auto"/>
              <w:left w:val="single" w:sz="4" w:space="0" w:color="auto"/>
              <w:bottom w:val="single" w:sz="4" w:space="0" w:color="000000"/>
              <w:right w:val="single" w:sz="4" w:space="0" w:color="000000"/>
            </w:tcBorders>
            <w:shd w:val="clear" w:color="auto" w:fill="BFBFBF"/>
            <w:vAlign w:val="center"/>
            <w:hideMark/>
          </w:tcPr>
          <w:p w14:paraId="045A3C47" w14:textId="77777777" w:rsidR="00221338" w:rsidRPr="00F53530" w:rsidRDefault="00221338" w:rsidP="00C44821">
            <w:pPr>
              <w:spacing w:after="0" w:line="240" w:lineRule="auto"/>
              <w:jc w:val="center"/>
              <w:rPr>
                <w:rFonts w:ascii="Times New Roman" w:eastAsia="Times New Roman" w:hAnsi="Times New Roman"/>
                <w:b/>
                <w:bCs/>
                <w:i/>
                <w:color w:val="000000"/>
                <w:lang w:eastAsia="es-CO"/>
              </w:rPr>
            </w:pPr>
          </w:p>
        </w:tc>
        <w:tc>
          <w:tcPr>
            <w:tcW w:w="1300"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045A3C48"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p>
        </w:tc>
      </w:tr>
      <w:tr w:rsidR="00221338" w:rsidRPr="00F53530" w14:paraId="045A3C4F" w14:textId="77777777" w:rsidTr="00A71B2B">
        <w:trPr>
          <w:trHeight w:val="570"/>
          <w:tblHeader/>
          <w:jc w:val="center"/>
        </w:trPr>
        <w:tc>
          <w:tcPr>
            <w:tcW w:w="1300"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045A3C4A"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p>
        </w:tc>
        <w:tc>
          <w:tcPr>
            <w:tcW w:w="1300" w:type="dxa"/>
            <w:tcBorders>
              <w:top w:val="nil"/>
              <w:left w:val="nil"/>
              <w:bottom w:val="single" w:sz="4" w:space="0" w:color="auto"/>
              <w:right w:val="single" w:sz="4" w:space="0" w:color="auto"/>
            </w:tcBorders>
            <w:shd w:val="clear" w:color="auto" w:fill="BFBFBF"/>
            <w:vAlign w:val="center"/>
            <w:hideMark/>
          </w:tcPr>
          <w:p w14:paraId="045A3C4B"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r w:rsidRPr="00F53530">
              <w:rPr>
                <w:rFonts w:ascii="Times New Roman" w:eastAsia="Times New Roman" w:hAnsi="Times New Roman"/>
                <w:b/>
                <w:bCs/>
                <w:i/>
                <w:color w:val="231F20"/>
                <w:lang w:val="es-ES" w:eastAsia="es-CO"/>
              </w:rPr>
              <w:t>Desde</w:t>
            </w:r>
          </w:p>
        </w:tc>
        <w:tc>
          <w:tcPr>
            <w:tcW w:w="2078" w:type="dxa"/>
            <w:tcBorders>
              <w:top w:val="nil"/>
              <w:left w:val="nil"/>
              <w:bottom w:val="single" w:sz="4" w:space="0" w:color="auto"/>
              <w:right w:val="single" w:sz="4" w:space="0" w:color="auto"/>
            </w:tcBorders>
            <w:shd w:val="clear" w:color="auto" w:fill="BFBFBF"/>
            <w:vAlign w:val="center"/>
            <w:hideMark/>
          </w:tcPr>
          <w:p w14:paraId="045A3C4C"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r w:rsidRPr="00F53530">
              <w:rPr>
                <w:rFonts w:ascii="Times New Roman" w:eastAsia="Times New Roman" w:hAnsi="Times New Roman"/>
                <w:b/>
                <w:bCs/>
                <w:i/>
                <w:color w:val="231F20"/>
                <w:lang w:val="es-ES" w:eastAsia="es-CO"/>
              </w:rPr>
              <w:t>Desde</w:t>
            </w:r>
          </w:p>
        </w:tc>
        <w:tc>
          <w:tcPr>
            <w:tcW w:w="1822" w:type="dxa"/>
            <w:tcBorders>
              <w:top w:val="nil"/>
              <w:left w:val="nil"/>
              <w:bottom w:val="single" w:sz="4" w:space="0" w:color="auto"/>
              <w:right w:val="single" w:sz="4" w:space="0" w:color="auto"/>
            </w:tcBorders>
            <w:shd w:val="clear" w:color="auto" w:fill="BFBFBF"/>
            <w:vAlign w:val="center"/>
            <w:hideMark/>
          </w:tcPr>
          <w:p w14:paraId="045A3C4D" w14:textId="77777777" w:rsidR="00221338" w:rsidRPr="00F53530" w:rsidRDefault="00221338"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val="es-ES" w:eastAsia="es-CO"/>
              </w:rPr>
              <w:t>Hasta</w:t>
            </w:r>
          </w:p>
        </w:tc>
        <w:tc>
          <w:tcPr>
            <w:tcW w:w="1300"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045A3C4E" w14:textId="77777777" w:rsidR="00221338" w:rsidRPr="00F53530" w:rsidRDefault="00221338" w:rsidP="00C44821">
            <w:pPr>
              <w:spacing w:after="0" w:line="240" w:lineRule="auto"/>
              <w:jc w:val="center"/>
              <w:rPr>
                <w:rFonts w:ascii="Times New Roman" w:eastAsia="Times New Roman" w:hAnsi="Times New Roman"/>
                <w:b/>
                <w:bCs/>
                <w:i/>
                <w:color w:val="231F20"/>
                <w:lang w:eastAsia="es-CO"/>
              </w:rPr>
            </w:pPr>
          </w:p>
        </w:tc>
      </w:tr>
      <w:tr w:rsidR="00221338" w:rsidRPr="00F53530" w14:paraId="045A3C55" w14:textId="77777777" w:rsidTr="00C63818">
        <w:trPr>
          <w:trHeight w:val="57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50"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1</w:t>
            </w:r>
          </w:p>
        </w:tc>
        <w:tc>
          <w:tcPr>
            <w:tcW w:w="1300" w:type="dxa"/>
            <w:tcBorders>
              <w:top w:val="nil"/>
              <w:left w:val="nil"/>
              <w:bottom w:val="single" w:sz="4" w:space="0" w:color="auto"/>
              <w:right w:val="single" w:sz="4" w:space="0" w:color="auto"/>
            </w:tcBorders>
            <w:shd w:val="clear" w:color="auto" w:fill="auto"/>
            <w:vAlign w:val="center"/>
            <w:hideMark/>
          </w:tcPr>
          <w:p w14:paraId="045A3C51"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1.500</w:t>
            </w:r>
          </w:p>
        </w:tc>
        <w:tc>
          <w:tcPr>
            <w:tcW w:w="2078" w:type="dxa"/>
            <w:tcBorders>
              <w:top w:val="nil"/>
              <w:left w:val="nil"/>
              <w:bottom w:val="single" w:sz="4" w:space="0" w:color="auto"/>
              <w:right w:val="single" w:sz="4" w:space="0" w:color="auto"/>
            </w:tcBorders>
            <w:shd w:val="clear" w:color="auto" w:fill="auto"/>
            <w:vAlign w:val="center"/>
            <w:hideMark/>
          </w:tcPr>
          <w:p w14:paraId="045A3C52"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0</w:t>
            </w:r>
          </w:p>
        </w:tc>
        <w:tc>
          <w:tcPr>
            <w:tcW w:w="1822" w:type="dxa"/>
            <w:tcBorders>
              <w:top w:val="nil"/>
              <w:left w:val="nil"/>
              <w:bottom w:val="single" w:sz="4" w:space="0" w:color="auto"/>
              <w:right w:val="single" w:sz="4" w:space="0" w:color="auto"/>
            </w:tcBorders>
            <w:shd w:val="clear" w:color="auto" w:fill="auto"/>
            <w:vAlign w:val="center"/>
            <w:hideMark/>
          </w:tcPr>
          <w:p w14:paraId="045A3C53"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40.000</w:t>
            </w:r>
          </w:p>
        </w:tc>
        <w:tc>
          <w:tcPr>
            <w:tcW w:w="1300" w:type="dxa"/>
            <w:tcBorders>
              <w:top w:val="nil"/>
              <w:left w:val="nil"/>
              <w:bottom w:val="single" w:sz="4" w:space="0" w:color="auto"/>
              <w:right w:val="single" w:sz="4" w:space="0" w:color="auto"/>
            </w:tcBorders>
            <w:shd w:val="clear" w:color="auto" w:fill="auto"/>
            <w:vAlign w:val="center"/>
            <w:hideMark/>
          </w:tcPr>
          <w:p w14:paraId="045A3C54"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1 a 10</w:t>
            </w:r>
          </w:p>
        </w:tc>
      </w:tr>
      <w:tr w:rsidR="00221338" w:rsidRPr="00F53530" w14:paraId="045A3C5B" w14:textId="77777777" w:rsidTr="00C63818">
        <w:trPr>
          <w:trHeight w:val="57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56" w14:textId="77777777" w:rsidR="00221338" w:rsidRPr="00F53530" w:rsidRDefault="00221338"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val="es-ES" w:eastAsia="es-CO"/>
              </w:rPr>
              <w:t>2</w:t>
            </w:r>
          </w:p>
        </w:tc>
        <w:tc>
          <w:tcPr>
            <w:tcW w:w="1300" w:type="dxa"/>
            <w:tcBorders>
              <w:top w:val="nil"/>
              <w:left w:val="nil"/>
              <w:bottom w:val="single" w:sz="4" w:space="0" w:color="auto"/>
              <w:right w:val="single" w:sz="4" w:space="0" w:color="auto"/>
            </w:tcBorders>
            <w:shd w:val="clear" w:color="auto" w:fill="auto"/>
            <w:vAlign w:val="center"/>
            <w:hideMark/>
          </w:tcPr>
          <w:p w14:paraId="045A3C57"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25.000</w:t>
            </w:r>
          </w:p>
        </w:tc>
        <w:tc>
          <w:tcPr>
            <w:tcW w:w="2078" w:type="dxa"/>
            <w:tcBorders>
              <w:top w:val="nil"/>
              <w:left w:val="nil"/>
              <w:bottom w:val="single" w:sz="4" w:space="0" w:color="auto"/>
              <w:right w:val="single" w:sz="4" w:space="0" w:color="auto"/>
            </w:tcBorders>
            <w:shd w:val="clear" w:color="auto" w:fill="auto"/>
            <w:vAlign w:val="center"/>
            <w:hideMark/>
          </w:tcPr>
          <w:p w14:paraId="045A3C58"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40.001</w:t>
            </w:r>
          </w:p>
        </w:tc>
        <w:tc>
          <w:tcPr>
            <w:tcW w:w="1822" w:type="dxa"/>
            <w:tcBorders>
              <w:top w:val="nil"/>
              <w:left w:val="nil"/>
              <w:bottom w:val="single" w:sz="4" w:space="0" w:color="auto"/>
              <w:right w:val="single" w:sz="4" w:space="0" w:color="auto"/>
            </w:tcBorders>
            <w:shd w:val="clear" w:color="auto" w:fill="auto"/>
            <w:vAlign w:val="center"/>
            <w:hideMark/>
          </w:tcPr>
          <w:p w14:paraId="045A3C59"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80.000</w:t>
            </w:r>
          </w:p>
        </w:tc>
        <w:tc>
          <w:tcPr>
            <w:tcW w:w="1300" w:type="dxa"/>
            <w:tcBorders>
              <w:top w:val="nil"/>
              <w:left w:val="nil"/>
              <w:bottom w:val="single" w:sz="4" w:space="0" w:color="auto"/>
              <w:right w:val="single" w:sz="4" w:space="0" w:color="auto"/>
            </w:tcBorders>
            <w:shd w:val="clear" w:color="auto" w:fill="auto"/>
            <w:vAlign w:val="center"/>
            <w:hideMark/>
          </w:tcPr>
          <w:p w14:paraId="045A3C5A"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11 a 24</w:t>
            </w:r>
          </w:p>
        </w:tc>
      </w:tr>
      <w:tr w:rsidR="00221338" w:rsidRPr="00F53530" w14:paraId="045A3C61" w14:textId="77777777" w:rsidTr="00C63818">
        <w:trPr>
          <w:trHeight w:val="4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5C" w14:textId="77777777" w:rsidR="00221338" w:rsidRPr="00F53530" w:rsidRDefault="00221338"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val="es-ES" w:eastAsia="es-CO"/>
              </w:rPr>
              <w:t>3</w:t>
            </w:r>
          </w:p>
        </w:tc>
        <w:tc>
          <w:tcPr>
            <w:tcW w:w="1300" w:type="dxa"/>
            <w:tcBorders>
              <w:top w:val="nil"/>
              <w:left w:val="nil"/>
              <w:bottom w:val="single" w:sz="4" w:space="0" w:color="auto"/>
              <w:right w:val="single" w:sz="4" w:space="0" w:color="auto"/>
            </w:tcBorders>
            <w:shd w:val="clear" w:color="auto" w:fill="auto"/>
            <w:vAlign w:val="center"/>
            <w:hideMark/>
          </w:tcPr>
          <w:p w14:paraId="045A3C5D"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50.000</w:t>
            </w:r>
          </w:p>
        </w:tc>
        <w:tc>
          <w:tcPr>
            <w:tcW w:w="2078" w:type="dxa"/>
            <w:tcBorders>
              <w:top w:val="nil"/>
              <w:left w:val="nil"/>
              <w:bottom w:val="single" w:sz="4" w:space="0" w:color="auto"/>
              <w:right w:val="single" w:sz="4" w:space="0" w:color="auto"/>
            </w:tcBorders>
            <w:shd w:val="clear" w:color="auto" w:fill="auto"/>
            <w:vAlign w:val="center"/>
            <w:hideMark/>
          </w:tcPr>
          <w:p w14:paraId="045A3C5E"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80.001</w:t>
            </w:r>
          </w:p>
        </w:tc>
        <w:tc>
          <w:tcPr>
            <w:tcW w:w="1822" w:type="dxa"/>
            <w:tcBorders>
              <w:top w:val="nil"/>
              <w:left w:val="nil"/>
              <w:bottom w:val="single" w:sz="4" w:space="0" w:color="auto"/>
              <w:right w:val="single" w:sz="4" w:space="0" w:color="auto"/>
            </w:tcBorders>
            <w:shd w:val="clear" w:color="auto" w:fill="auto"/>
            <w:vAlign w:val="center"/>
            <w:hideMark/>
          </w:tcPr>
          <w:p w14:paraId="045A3C5F"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170.000</w:t>
            </w:r>
          </w:p>
        </w:tc>
        <w:tc>
          <w:tcPr>
            <w:tcW w:w="1300" w:type="dxa"/>
            <w:tcBorders>
              <w:top w:val="nil"/>
              <w:left w:val="nil"/>
              <w:bottom w:val="single" w:sz="4" w:space="0" w:color="auto"/>
              <w:right w:val="single" w:sz="4" w:space="0" w:color="auto"/>
            </w:tcBorders>
            <w:shd w:val="clear" w:color="auto" w:fill="auto"/>
            <w:vAlign w:val="center"/>
            <w:hideMark/>
          </w:tcPr>
          <w:p w14:paraId="045A3C60"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25 a 50</w:t>
            </w:r>
          </w:p>
        </w:tc>
      </w:tr>
      <w:tr w:rsidR="00221338" w:rsidRPr="00F53530" w14:paraId="045A3C67" w14:textId="77777777" w:rsidTr="00C63818">
        <w:trPr>
          <w:trHeight w:val="4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5A3C62" w14:textId="77777777" w:rsidR="00221338" w:rsidRPr="00F53530" w:rsidRDefault="00221338"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val="es-ES" w:eastAsia="es-CO"/>
              </w:rPr>
              <w:t>4</w:t>
            </w:r>
          </w:p>
        </w:tc>
        <w:tc>
          <w:tcPr>
            <w:tcW w:w="1300" w:type="dxa"/>
            <w:tcBorders>
              <w:top w:val="nil"/>
              <w:left w:val="nil"/>
              <w:bottom w:val="single" w:sz="4" w:space="0" w:color="auto"/>
              <w:right w:val="single" w:sz="4" w:space="0" w:color="auto"/>
            </w:tcBorders>
            <w:shd w:val="clear" w:color="auto" w:fill="auto"/>
            <w:vAlign w:val="center"/>
            <w:hideMark/>
          </w:tcPr>
          <w:p w14:paraId="045A3C63"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80.000</w:t>
            </w:r>
          </w:p>
        </w:tc>
        <w:tc>
          <w:tcPr>
            <w:tcW w:w="2078" w:type="dxa"/>
            <w:tcBorders>
              <w:top w:val="nil"/>
              <w:left w:val="nil"/>
              <w:bottom w:val="single" w:sz="4" w:space="0" w:color="auto"/>
              <w:right w:val="single" w:sz="4" w:space="0" w:color="auto"/>
            </w:tcBorders>
            <w:shd w:val="clear" w:color="auto" w:fill="auto"/>
            <w:vAlign w:val="center"/>
            <w:hideMark/>
          </w:tcPr>
          <w:p w14:paraId="045A3C64"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170.001</w:t>
            </w:r>
          </w:p>
        </w:tc>
        <w:tc>
          <w:tcPr>
            <w:tcW w:w="1822" w:type="dxa"/>
            <w:tcBorders>
              <w:top w:val="nil"/>
              <w:left w:val="nil"/>
              <w:bottom w:val="single" w:sz="4" w:space="0" w:color="auto"/>
              <w:right w:val="single" w:sz="4" w:space="0" w:color="auto"/>
            </w:tcBorders>
            <w:shd w:val="clear" w:color="auto" w:fill="auto"/>
            <w:vAlign w:val="center"/>
            <w:hideMark/>
          </w:tcPr>
          <w:p w14:paraId="045A3C65" w14:textId="77777777" w:rsidR="00221338" w:rsidRPr="00F53530" w:rsidRDefault="00221338"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val="es-ES" w:eastAsia="es-CO"/>
              </w:rPr>
              <w:t>290.000</w:t>
            </w:r>
          </w:p>
        </w:tc>
        <w:tc>
          <w:tcPr>
            <w:tcW w:w="1300" w:type="dxa"/>
            <w:tcBorders>
              <w:top w:val="nil"/>
              <w:left w:val="nil"/>
              <w:bottom w:val="single" w:sz="4" w:space="0" w:color="auto"/>
              <w:right w:val="single" w:sz="4" w:space="0" w:color="auto"/>
            </w:tcBorders>
            <w:shd w:val="clear" w:color="auto" w:fill="auto"/>
            <w:vAlign w:val="center"/>
            <w:hideMark/>
          </w:tcPr>
          <w:p w14:paraId="045A3C66" w14:textId="77777777" w:rsidR="00221338" w:rsidRPr="00F53530" w:rsidRDefault="00221338"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val="es-ES" w:eastAsia="es-CO"/>
              </w:rPr>
              <w:t>Más de 51</w:t>
            </w:r>
          </w:p>
        </w:tc>
      </w:tr>
    </w:tbl>
    <w:p w14:paraId="045A3C6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anteriores requisitos deben cumplirse por los contribuyentes en todos los periodos gravables en los que se aplique el beneficio de renta exenta, quienes deben de estar inscritos en el Registro Único Tributario como contribuyentes del régimen general del impuesto sobre la renta.</w:t>
      </w:r>
    </w:p>
    <w:p w14:paraId="045A3C6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beneficio al que se refiere este artículo no será procedente, cuando los trabajadores que se incorporen a los nuevos empleos directos generados hayan laborado durante el año de su contratación y/o el año inmediatamente anterior a este, en empresas con las cuales el contribuyente tenga vinculación económica o procedan de procesos de fusión o escisión que efectúe el contribuyente. Para acceder a la renta exenta de que trata este artículo, el contribuyente deberá acreditar que el mínimo de empleados directos requeridos no ostentan la calidad de administradores de la respectiva sociedad ni son miembros, socios, accionistas, copartícipes, asociados, cooperados, comuneros o consorciados de la misma.</w:t>
      </w:r>
    </w:p>
    <w:p w14:paraId="045A3C6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efectos de determinar la vocación de permanencia mínima de empleos, se deberán acreditar los empleos directos a 30 de junio del año en el cual está obligado a presentar la declaración objeto del beneficio establecido en este artículo, y poder demostrar que se han mantenido a 31 de diciembre del mismo año.</w:t>
      </w:r>
    </w:p>
    <w:p w14:paraId="045A3C6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d) Las sociedades deben presentar su proyecto de inversión ante el Ministerio de Agricultura y Desarrollo Rural, justificando su viabilidad financiera y conveniencia económica, y el Ministerio debe emitir un acto de conformidad y confirmar que las inversiones incrementan la productividad del sector agropecuario antes del 31 de diciembre de 2022.</w:t>
      </w:r>
    </w:p>
    <w:p w14:paraId="045A3C6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 Las sociedades deben cumplir con los montos mínimos de inversión en los términos que defina el Gobierno nacional, que en ningún caso puede ser inferior a mil quinientas (1.500) UVT y en un plazo máximo de seis (6) años gravables. En caso de que no se logre el monto de inversión se pierde el beneficio a partir del sexto año, inclusive.</w:t>
      </w:r>
    </w:p>
    <w:p w14:paraId="045A3C6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f) El beneficio de renta exenta aquí contemplado, se aplicará incluso, en el esquema empresarial, de inversión, o de negocios, se vincule a entidades de economía solidaria cuyas actividades u objetivos tengan relación con el sector agropecuario, a las asociaciones de campesinos, o grupos individuales de estos.</w:t>
      </w:r>
    </w:p>
    <w:p w14:paraId="045A3C6E" w14:textId="77B37B9F"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3. Venta de energía eléctrica generada con base en energía eólica, biomasa o residuos agrícolas, solar, geotérmica o de los mares, según las definiciones de la </w:t>
      </w:r>
      <w:hyperlink r:id="rId72" w:history="1">
        <w:r w:rsidRPr="00C5581B">
          <w:rPr>
            <w:rStyle w:val="Hipervnculo"/>
            <w:rFonts w:ascii="Times New Roman" w:hAnsi="Times New Roman"/>
            <w:i/>
          </w:rPr>
          <w:t>Ley 1715 de 2014</w:t>
        </w:r>
      </w:hyperlink>
      <w:r w:rsidRPr="00F53530">
        <w:rPr>
          <w:rFonts w:ascii="Times New Roman" w:hAnsi="Times New Roman"/>
          <w:i/>
        </w:rPr>
        <w:t xml:space="preserve"> y el </w:t>
      </w:r>
      <w:hyperlink r:id="rId73" w:history="1">
        <w:r w:rsidRPr="00C5581B">
          <w:rPr>
            <w:rStyle w:val="Hipervnculo"/>
            <w:rFonts w:ascii="Times New Roman" w:hAnsi="Times New Roman"/>
            <w:i/>
          </w:rPr>
          <w:t>Decreto 2755 de 2003</w:t>
        </w:r>
      </w:hyperlink>
      <w:r w:rsidRPr="00F53530">
        <w:rPr>
          <w:rFonts w:ascii="Times New Roman" w:hAnsi="Times New Roman"/>
          <w:i/>
        </w:rPr>
        <w:t>, realizada únicamente por parte de empresas generadoras, por un término de quince (15) años, a partir del año 2017, siempre que se cumplan los siguientes requisitos:</w:t>
      </w:r>
    </w:p>
    <w:p w14:paraId="045A3C6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Tramitar, obtener y vender certificados de emisión de bióxido de carbono de acuerdo con la reglamentación del Gobierno nacional.</w:t>
      </w:r>
    </w:p>
    <w:p w14:paraId="045A3C7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Que al menos el 50% de los recursos obtenidos por la venta de dichos certificados sean invertidos en obras de beneficio social en la región donde opera el generador. La inversión que da derecho al beneficio será realizada de acuerdo con la proporción de afectación de cada municipio por la construcción y operación de la central generadora.</w:t>
      </w:r>
    </w:p>
    <w:p w14:paraId="045A3C7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4. Las siguientes rentas asociadas a la vivienda de interés social y a la vivienda de interés prioritario:</w:t>
      </w:r>
    </w:p>
    <w:p w14:paraId="045A3C7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La utilidad en la enajenación de predios destinados al desarrollo de proyectos de vivienda de interés social y/o de vivienda de interés prioritario;</w:t>
      </w:r>
    </w:p>
    <w:p w14:paraId="045A3C7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La utilidad en la primera enajenación de viviendas de interés social y/o de interés prioritario;</w:t>
      </w:r>
    </w:p>
    <w:p w14:paraId="045A3C7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La utilidad en la enajenación de predios para el desarrollo de proyectos de renovación urbana;</w:t>
      </w:r>
    </w:p>
    <w:p w14:paraId="045A3C75" w14:textId="2B47AECD"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d) Las rentas de que trata el artículo 16 de la </w:t>
      </w:r>
      <w:hyperlink r:id="rId74" w:history="1">
        <w:r w:rsidRPr="00CF6484">
          <w:rPr>
            <w:rStyle w:val="Hipervnculo"/>
            <w:rFonts w:ascii="Times New Roman" w:hAnsi="Times New Roman"/>
            <w:i/>
          </w:rPr>
          <w:t>Ley 546 de 1999</w:t>
        </w:r>
      </w:hyperlink>
      <w:r w:rsidRPr="00F53530">
        <w:rPr>
          <w:rFonts w:ascii="Times New Roman" w:hAnsi="Times New Roman"/>
          <w:i/>
        </w:rPr>
        <w:t>, en los términos allí previstos;</w:t>
      </w:r>
    </w:p>
    <w:p w14:paraId="045A3C7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14:paraId="045A3C7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gozar de las exenciones de que tratan los literales a) y b) de este numeral, se requiere que:</w:t>
      </w:r>
    </w:p>
    <w:p w14:paraId="045A3C7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i) La licencia de construcción establezca que el proyecto a ser desarrollado sea de vivienda de interés social y/o de interés prioritario.</w:t>
      </w:r>
    </w:p>
    <w:p w14:paraId="045A3C7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ii) Los predios sean aportados a un patrimonio autónomo con objeto exclusivo de desarrollo del proyecto de vivienda de interés social y/o de interés prioritario;</w:t>
      </w:r>
    </w:p>
    <w:p w14:paraId="045A3C7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iii) La totalidad del desarrollo del proyecto de vivienda de interés social y/o de interés prioritario se efectúe a través del patrimonio autónomo, y</w:t>
      </w:r>
    </w:p>
    <w:p w14:paraId="045A3C7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iv) El plazo de la fiducia mercantil a través del cual se desarrolla el proyecto no exceda de diez (10) años. El Gobierno nacional reglamentará la materia.</w:t>
      </w:r>
    </w:p>
    <w:p w14:paraId="045A3C7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mismos requisitos establecidos en este literal serán aplicables cuando se pretenda acceder a la exención prevista por la enajenación de predios para proyectos de renovación urbana.</w:t>
      </w:r>
    </w:p>
    <w:p w14:paraId="045A3C7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5. Aprovechamiento de nuevas plantaciones forestales, incluida la guadua, el caucho y el marañón, según la calificación que para el efecto expida la corporación autónoma regional o la entidad competente.</w:t>
      </w:r>
    </w:p>
    <w:p w14:paraId="045A3C7E" w14:textId="0702D3C4"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En las mismas condiciones, gozarán de la exención los contribuyentes que a partir de la fecha de entrada en vigencia de la </w:t>
      </w:r>
      <w:hyperlink r:id="rId75" w:history="1">
        <w:r w:rsidRPr="00FB68BE">
          <w:rPr>
            <w:rStyle w:val="Hipervnculo"/>
            <w:rFonts w:ascii="Times New Roman" w:hAnsi="Times New Roman"/>
            <w:i/>
          </w:rPr>
          <w:t>Ley 1943 de 2018</w:t>
        </w:r>
      </w:hyperlink>
      <w:r w:rsidRPr="00F53530">
        <w:rPr>
          <w:rFonts w:ascii="Times New Roman" w:hAnsi="Times New Roman"/>
          <w:i/>
        </w:rPr>
        <w:t xml:space="preserve"> realicen inversiones en nuevos aserríos y plantas de procesamiento vinculados directamente al aprovechamiento a que se refiere este numeral.</w:t>
      </w:r>
    </w:p>
    <w:p w14:paraId="045A3C7F" w14:textId="5F464C10"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También gozarán de la exención de que trata este numeral, los contribuyentes que, a la fecha de entrada en vigencia de la </w:t>
      </w:r>
      <w:hyperlink r:id="rId76" w:history="1">
        <w:r w:rsidRPr="00FB68BE">
          <w:rPr>
            <w:rStyle w:val="Hipervnculo"/>
            <w:rFonts w:ascii="Times New Roman" w:hAnsi="Times New Roman"/>
            <w:i/>
          </w:rPr>
          <w:t>Ley 1943 de 2018</w:t>
        </w:r>
      </w:hyperlink>
      <w:r w:rsidRPr="00F53530">
        <w:rPr>
          <w:rFonts w:ascii="Times New Roman" w:hAnsi="Times New Roman"/>
          <w:i/>
        </w:rPr>
        <w:t>, posean plantaciones de árboles maderables y árboles en producción de frutos, debidamente registrados ante la autoridad competente. La exención queda sujeta a la renovación técnica de los cultivos.</w:t>
      </w:r>
    </w:p>
    <w:p w14:paraId="045A3C8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exención de que trata el presente numeral estará vigente hasta el año gravable 2036, incluido.</w:t>
      </w:r>
    </w:p>
    <w:p w14:paraId="045A3C81" w14:textId="21A751C4"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6. La prestación del servicio de transporte fluvial con embarcaciones y planchones de bajo calado, por un término de quince (15) años a partir de la vigencia de la </w:t>
      </w:r>
      <w:hyperlink r:id="rId77" w:history="1">
        <w:r w:rsidRPr="00FB68BE">
          <w:rPr>
            <w:rStyle w:val="Hipervnculo"/>
            <w:rFonts w:ascii="Times New Roman" w:hAnsi="Times New Roman"/>
            <w:i/>
          </w:rPr>
          <w:t>Ley 1943 de 2018</w:t>
        </w:r>
      </w:hyperlink>
      <w:r w:rsidRPr="00F53530">
        <w:rPr>
          <w:rFonts w:ascii="Times New Roman" w:hAnsi="Times New Roman"/>
          <w:i/>
        </w:rPr>
        <w:t>.</w:t>
      </w:r>
    </w:p>
    <w:p w14:paraId="045A3C82" w14:textId="3B3E6F8A"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7. Las rentas de que tratan los artículos 4 del </w:t>
      </w:r>
      <w:hyperlink r:id="rId78" w:history="1">
        <w:r w:rsidRPr="00C5581B">
          <w:rPr>
            <w:rStyle w:val="Hipervnculo"/>
            <w:rFonts w:ascii="Times New Roman" w:hAnsi="Times New Roman"/>
            <w:i/>
          </w:rPr>
          <w:t>Decreto 841 de 1998</w:t>
        </w:r>
      </w:hyperlink>
      <w:r w:rsidRPr="00F53530">
        <w:rPr>
          <w:rFonts w:ascii="Times New Roman" w:hAnsi="Times New Roman"/>
          <w:i/>
        </w:rPr>
        <w:t xml:space="preserve"> y 135 de la </w:t>
      </w:r>
      <w:r w:rsidR="00C34DEE">
        <w:rPr>
          <w:rFonts w:ascii="Times New Roman" w:hAnsi="Times New Roman"/>
          <w:i/>
        </w:rPr>
        <w:t>*</w:t>
      </w:r>
      <w:r w:rsidRPr="00F53530">
        <w:rPr>
          <w:rFonts w:ascii="Times New Roman" w:hAnsi="Times New Roman"/>
          <w:i/>
        </w:rPr>
        <w:t>Ley 100 de 1993.</w:t>
      </w:r>
    </w:p>
    <w:p w14:paraId="045A3C83" w14:textId="1FA93EB3"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8. </w:t>
      </w:r>
      <w:r w:rsidR="00BC5D11" w:rsidRPr="00241CD4">
        <w:rPr>
          <w:rFonts w:ascii="Times New Roman" w:hAnsi="Times New Roman"/>
          <w:b/>
          <w:bCs/>
          <w:i/>
          <w:iCs/>
          <w:shd w:val="clear" w:color="auto" w:fill="FFFFFF"/>
        </w:rPr>
        <w:t xml:space="preserve">(Aparte </w:t>
      </w:r>
      <w:r w:rsidR="00BC5D11">
        <w:rPr>
          <w:rFonts w:ascii="Times New Roman" w:hAnsi="Times New Roman"/>
          <w:b/>
          <w:bCs/>
          <w:i/>
          <w:iCs/>
          <w:shd w:val="clear" w:color="auto" w:fill="FFFFFF"/>
        </w:rPr>
        <w:t>subrayado</w:t>
      </w:r>
      <w:r w:rsidR="00BC5D11" w:rsidRPr="00241CD4">
        <w:rPr>
          <w:rFonts w:ascii="Times New Roman" w:hAnsi="Times New Roman"/>
          <w:b/>
          <w:bCs/>
          <w:i/>
          <w:iCs/>
          <w:shd w:val="clear" w:color="auto" w:fill="FFFFFF"/>
        </w:rPr>
        <w:t xml:space="preserve"> modificado por el artículo 3 de la </w:t>
      </w:r>
      <w:hyperlink r:id="rId79" w:history="1">
        <w:r w:rsidR="00BC5D11" w:rsidRPr="00241CD4">
          <w:rPr>
            <w:rStyle w:val="Hipervnculo"/>
            <w:rFonts w:ascii="Times New Roman" w:hAnsi="Times New Roman"/>
            <w:b/>
            <w:bCs/>
            <w:i/>
            <w:iCs/>
            <w:shd w:val="clear" w:color="auto" w:fill="FFFFFF"/>
          </w:rPr>
          <w:t xml:space="preserve">Ley </w:t>
        </w:r>
        <w:r w:rsidR="00BC5D11" w:rsidRPr="00241CD4">
          <w:rPr>
            <w:rStyle w:val="Hipervnculo"/>
            <w:rFonts w:ascii="Times New Roman" w:hAnsi="Times New Roman"/>
            <w:b/>
            <w:i/>
            <w:iCs/>
            <w:lang w:val="es-MX" w:eastAsia="es-MX"/>
          </w:rPr>
          <w:t>2319 de 29 de agosto de 2023</w:t>
        </w:r>
      </w:hyperlink>
      <w:r w:rsidR="00BC5D11" w:rsidRPr="00241CD4">
        <w:rPr>
          <w:rFonts w:ascii="Times New Roman" w:hAnsi="Times New Roman"/>
          <w:b/>
          <w:i/>
          <w:iCs/>
          <w:lang w:val="es-MX" w:eastAsia="es-MX"/>
        </w:rPr>
        <w:t>)</w:t>
      </w:r>
      <w:r w:rsidR="00BC5D11">
        <w:rPr>
          <w:rFonts w:ascii="Times New Roman" w:hAnsi="Times New Roman"/>
          <w:b/>
          <w:i/>
          <w:iCs/>
          <w:lang w:val="es-MX" w:eastAsia="es-MX"/>
        </w:rPr>
        <w:t xml:space="preserve">. </w:t>
      </w:r>
      <w:r w:rsidRPr="00F53530">
        <w:rPr>
          <w:rFonts w:ascii="Times New Roman" w:hAnsi="Times New Roman"/>
          <w:i/>
        </w:rPr>
        <w:t xml:space="preserve">El incentivo tributario a las creaciones literarias de la </w:t>
      </w:r>
      <w:r w:rsidR="00BC5D11" w:rsidRPr="00BC5D11">
        <w:rPr>
          <w:rFonts w:ascii="Times New Roman" w:hAnsi="Times New Roman"/>
          <w:i/>
          <w:iCs/>
          <w:u w:val="single"/>
        </w:rPr>
        <w:t>Economía Cultural y Creativa</w:t>
      </w:r>
      <w:r w:rsidRPr="00F53530">
        <w:rPr>
          <w:rFonts w:ascii="Times New Roman" w:hAnsi="Times New Roman"/>
          <w:i/>
        </w:rPr>
        <w:t xml:space="preserve">, contenidas en el artículo 28 de la </w:t>
      </w:r>
      <w:hyperlink r:id="rId80" w:history="1">
        <w:r w:rsidRPr="009E465C">
          <w:rPr>
            <w:rStyle w:val="Hipervnculo"/>
            <w:rFonts w:ascii="Times New Roman" w:hAnsi="Times New Roman"/>
            <w:i/>
          </w:rPr>
          <w:t>Ley 98 de 1993</w:t>
        </w:r>
      </w:hyperlink>
      <w:r w:rsidRPr="00F53530">
        <w:rPr>
          <w:rFonts w:ascii="Times New Roman" w:hAnsi="Times New Roman"/>
          <w:i/>
        </w:rPr>
        <w:t>.</w:t>
      </w:r>
    </w:p>
    <w:p w14:paraId="045A3C8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9. Los rendimientos generados por la reserva de estabilización que constituyen las entidades administradoras de fondos de pensiones y cesantías, de acuerdo con el artículo 101 de la </w:t>
      </w:r>
      <w:r w:rsidR="00C34DEE">
        <w:rPr>
          <w:rFonts w:ascii="Times New Roman" w:hAnsi="Times New Roman"/>
          <w:i/>
        </w:rPr>
        <w:t>*</w:t>
      </w:r>
      <w:r w:rsidRPr="00F53530">
        <w:rPr>
          <w:rFonts w:ascii="Times New Roman" w:hAnsi="Times New Roman"/>
          <w:i/>
        </w:rPr>
        <w:t>Ley 100 de 1993.</w:t>
      </w:r>
    </w:p>
    <w:p w14:paraId="045A3C85" w14:textId="77777777" w:rsidR="00040448" w:rsidRPr="00F53530" w:rsidRDefault="00280B8A" w:rsidP="00C44821">
      <w:pPr>
        <w:spacing w:before="240" w:after="240" w:line="240" w:lineRule="auto"/>
        <w:jc w:val="both"/>
        <w:rPr>
          <w:rFonts w:ascii="Times New Roman" w:hAnsi="Times New Roman"/>
          <w:i/>
        </w:rPr>
      </w:pPr>
      <w:r w:rsidRPr="00C44460">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La exención consagrada en el numeral 1 del presente artículo aplica exclusivamente a los contribuyentes que tengan ingresos brutos anuales inferiores a ochenta mil (80.000) UVT y se encuentren inscritos en el Registro Único Tributario como contribuyentes del régimen general del impuesto sobre la renta. Los anteriores requisitos deben cumplirse en todos los periodos gravables en los cuales se aplique el beneficio de renta exenta.</w:t>
      </w:r>
    </w:p>
    <w:p w14:paraId="045A3C8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presente parágrafo no aplica para aquellas sociedades cuyo objeto social principal sean actividades enmarcadas dentro de la Clasificación de Actividades Económicas CIIU 5911.</w:t>
      </w:r>
    </w:p>
    <w:p w14:paraId="045A3C87" w14:textId="56C0B012" w:rsidR="00040448" w:rsidRPr="00F53530" w:rsidRDefault="00280B8A" w:rsidP="00C44821">
      <w:pPr>
        <w:spacing w:before="240" w:after="240" w:line="240" w:lineRule="auto"/>
        <w:jc w:val="both"/>
        <w:rPr>
          <w:rFonts w:ascii="Times New Roman" w:hAnsi="Times New Roman"/>
          <w:i/>
        </w:rPr>
      </w:pPr>
      <w:r w:rsidRPr="00C44460">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 xml:space="preserve">Las entidades que tengan derecho a las exenciones a las que se refieren los numerales 1 y 2 del presente artículo estarán obligadas a realizar los aportes parafiscales y las cotizaciones de que tratan los artículos 202 y 204 de la </w:t>
      </w:r>
      <w:r w:rsidR="00C34DEE">
        <w:rPr>
          <w:rFonts w:ascii="Times New Roman" w:hAnsi="Times New Roman"/>
          <w:i/>
        </w:rPr>
        <w:t>*</w:t>
      </w:r>
      <w:r w:rsidR="00040448" w:rsidRPr="00F53530">
        <w:rPr>
          <w:rFonts w:ascii="Times New Roman" w:hAnsi="Times New Roman"/>
          <w:i/>
        </w:rPr>
        <w:t xml:space="preserve">Ley 100 de 1993 y las pertinentes de la </w:t>
      </w:r>
      <w:hyperlink r:id="rId81" w:history="1">
        <w:r w:rsidR="00040448" w:rsidRPr="00CF6484">
          <w:rPr>
            <w:rStyle w:val="Hipervnculo"/>
            <w:rFonts w:ascii="Times New Roman" w:hAnsi="Times New Roman"/>
            <w:i/>
          </w:rPr>
          <w:t>Ley 1122 de 2007</w:t>
        </w:r>
      </w:hyperlink>
      <w:r w:rsidR="00040448" w:rsidRPr="00F53530">
        <w:rPr>
          <w:rFonts w:ascii="Times New Roman" w:hAnsi="Times New Roman"/>
          <w:i/>
        </w:rPr>
        <w:t xml:space="preserve">, el artículo 7 de la </w:t>
      </w:r>
      <w:hyperlink r:id="rId82" w:history="1">
        <w:r w:rsidR="00040448" w:rsidRPr="00CF6484">
          <w:rPr>
            <w:rStyle w:val="Hipervnculo"/>
            <w:rFonts w:ascii="Times New Roman" w:hAnsi="Times New Roman"/>
            <w:i/>
          </w:rPr>
          <w:t>Ley 21 de 1982</w:t>
        </w:r>
      </w:hyperlink>
      <w:r w:rsidR="00040448" w:rsidRPr="00F53530">
        <w:rPr>
          <w:rFonts w:ascii="Times New Roman" w:hAnsi="Times New Roman"/>
          <w:i/>
        </w:rPr>
        <w:t xml:space="preserve">, los artículos 2 y 3 de la </w:t>
      </w:r>
      <w:hyperlink r:id="rId83" w:history="1">
        <w:r w:rsidR="00040448" w:rsidRPr="00CF6484">
          <w:rPr>
            <w:rStyle w:val="Hipervnculo"/>
            <w:rFonts w:ascii="Times New Roman" w:hAnsi="Times New Roman"/>
            <w:i/>
          </w:rPr>
          <w:t>Ley 27 de 1974</w:t>
        </w:r>
      </w:hyperlink>
      <w:r w:rsidR="00040448" w:rsidRPr="00F53530">
        <w:rPr>
          <w:rFonts w:ascii="Times New Roman" w:hAnsi="Times New Roman"/>
          <w:i/>
        </w:rPr>
        <w:t xml:space="preserve"> y el artículo 1 de la </w:t>
      </w:r>
      <w:hyperlink r:id="rId84" w:history="1">
        <w:r w:rsidR="00040448" w:rsidRPr="00C56C19">
          <w:rPr>
            <w:rStyle w:val="Hipervnculo"/>
            <w:rFonts w:ascii="Times New Roman" w:hAnsi="Times New Roman"/>
            <w:i/>
          </w:rPr>
          <w:t>Ley 89 de 1988</w:t>
        </w:r>
      </w:hyperlink>
      <w:r w:rsidR="00040448" w:rsidRPr="00F53530">
        <w:rPr>
          <w:rFonts w:ascii="Times New Roman" w:hAnsi="Times New Roman"/>
          <w:i/>
        </w:rPr>
        <w:t>, y de acuerdo con los requisitos y condiciones establecidos en las normas aplicables.</w:t>
      </w:r>
    </w:p>
    <w:p w14:paraId="045A3C88" w14:textId="648F17E8" w:rsidR="00040448" w:rsidRDefault="00280B8A" w:rsidP="00C44821">
      <w:pPr>
        <w:spacing w:before="240" w:after="240" w:line="240" w:lineRule="auto"/>
        <w:jc w:val="both"/>
        <w:rPr>
          <w:rFonts w:ascii="Times New Roman" w:hAnsi="Times New Roman"/>
          <w:i/>
        </w:rPr>
      </w:pPr>
      <w:r w:rsidRPr="00C44460">
        <w:rPr>
          <w:rFonts w:ascii="Times New Roman" w:hAnsi="Times New Roman"/>
          <w:b/>
          <w:bCs/>
          <w:i/>
        </w:rPr>
        <w:t>PARÁGRAFO 3.</w:t>
      </w:r>
      <w:r w:rsidR="00A03C6F" w:rsidRPr="00F53530">
        <w:rPr>
          <w:rFonts w:ascii="Times New Roman" w:hAnsi="Times New Roman"/>
          <w:i/>
        </w:rPr>
        <w:t xml:space="preserve"> </w:t>
      </w:r>
      <w:r w:rsidR="00040448" w:rsidRPr="00F53530">
        <w:rPr>
          <w:rFonts w:ascii="Times New Roman" w:hAnsi="Times New Roman"/>
          <w:i/>
        </w:rPr>
        <w:t xml:space="preserve">Las rentas exentas por la venta de energía eléctrica generada con base en los recursos eólicos, biomasa o residuos agrícolas, solar, geotérmica o de los mares, de que trata el presente artículo, no podrán aplicarse concurrentemente con los beneficios establecidos en la </w:t>
      </w:r>
      <w:hyperlink r:id="rId85" w:history="1">
        <w:r w:rsidR="00040448" w:rsidRPr="00020067">
          <w:rPr>
            <w:rStyle w:val="Hipervnculo"/>
            <w:rFonts w:ascii="Times New Roman" w:hAnsi="Times New Roman"/>
            <w:i/>
          </w:rPr>
          <w:t>Ley 1715 de 2014</w:t>
        </w:r>
      </w:hyperlink>
      <w:r w:rsidR="00040448" w:rsidRPr="00F53530">
        <w:rPr>
          <w:rFonts w:ascii="Times New Roman" w:hAnsi="Times New Roman"/>
          <w:i/>
        </w:rPr>
        <w:t>.</w:t>
      </w:r>
    </w:p>
    <w:p w14:paraId="045A3C89" w14:textId="2AAFE9D1" w:rsidR="00D74122" w:rsidRPr="00D74122" w:rsidRDefault="00D74122" w:rsidP="00D74122">
      <w:pPr>
        <w:numPr>
          <w:ilvl w:val="0"/>
          <w:numId w:val="14"/>
        </w:numPr>
        <w:spacing w:after="0" w:line="240" w:lineRule="auto"/>
        <w:jc w:val="both"/>
        <w:rPr>
          <w:rFonts w:ascii="Times New Roman" w:hAnsi="Times New Roman"/>
          <w:highlight w:val="cyan"/>
        </w:rPr>
      </w:pPr>
      <w:r w:rsidRPr="00D74122">
        <w:rPr>
          <w:rFonts w:ascii="Times New Roman" w:hAnsi="Times New Roman"/>
          <w:highlight w:val="cyan"/>
        </w:rPr>
        <w:lastRenderedPageBreak/>
        <w:t>Aparte entre corchetes del literal b) del numeral 2 del artículo 235-2 declarado INEXEQUIBLE por la Corte Constitucional mediante S</w:t>
      </w:r>
      <w:hyperlink r:id="rId86" w:history="1">
        <w:r w:rsidRPr="00D74122">
          <w:rPr>
            <w:rStyle w:val="Hipervnculo"/>
            <w:rFonts w:ascii="Times New Roman" w:hAnsi="Times New Roman"/>
            <w:highlight w:val="cyan"/>
          </w:rPr>
          <w:t>entencia C-161 de 26 de mayo de 2021</w:t>
        </w:r>
      </w:hyperlink>
      <w:r w:rsidRPr="00D74122">
        <w:rPr>
          <w:rFonts w:ascii="Times New Roman" w:hAnsi="Times New Roman"/>
          <w:highlight w:val="cyan"/>
        </w:rPr>
        <w:t>, Magistrada Ponente Dra. Cristina Pardo Schlesinger.</w:t>
      </w:r>
    </w:p>
    <w:p w14:paraId="045A3C8A" w14:textId="77777777" w:rsidR="00E8658E" w:rsidRPr="00F53530" w:rsidRDefault="00E8658E"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w:t>
      </w:r>
      <w:r w:rsidR="00C34DEE">
        <w:rPr>
          <w:rFonts w:ascii="Times New Roman" w:hAnsi="Times New Roman"/>
          <w:highlight w:val="green"/>
        </w:rPr>
        <w:t xml:space="preserve"> y a la Ley 100 de 1993</w:t>
      </w:r>
      <w:r w:rsidRPr="008D21E5">
        <w:rPr>
          <w:rFonts w:ascii="Times New Roman" w:hAnsi="Times New Roman"/>
          <w:highlight w:val="green"/>
        </w:rPr>
        <w:t>, le sugerimos remitirse a la publicación de nuestro Grupo Editorial Nueva Legislación “Estatuto Tributario Nacional”</w:t>
      </w:r>
      <w:r w:rsidR="00C34DEE">
        <w:rPr>
          <w:rFonts w:ascii="Times New Roman" w:hAnsi="Times New Roman"/>
          <w:highlight w:val="green"/>
        </w:rPr>
        <w:t xml:space="preserve"> y </w:t>
      </w:r>
      <w:r w:rsidR="00C34DEE" w:rsidRPr="00C92E66">
        <w:rPr>
          <w:rFonts w:ascii="Times New Roman" w:hAnsi="Times New Roman"/>
          <w:highlight w:val="green"/>
        </w:rPr>
        <w:t>“</w:t>
      </w:r>
      <w:r w:rsidR="00C34DEE">
        <w:rPr>
          <w:rFonts w:ascii="Times New Roman" w:hAnsi="Times New Roman"/>
          <w:highlight w:val="green"/>
        </w:rPr>
        <w:t>Sistema de Seguridad Social Integral</w:t>
      </w:r>
      <w:r w:rsidR="00C34DEE" w:rsidRPr="00C92E66">
        <w:rPr>
          <w:rFonts w:ascii="Times New Roman" w:hAnsi="Times New Roman"/>
          <w:highlight w:val="green"/>
        </w:rPr>
        <w:t>”</w:t>
      </w:r>
      <w:r w:rsidRPr="008D21E5">
        <w:rPr>
          <w:rFonts w:ascii="Times New Roman" w:hAnsi="Times New Roman"/>
          <w:highlight w:val="green"/>
        </w:rPr>
        <w:t>.</w:t>
      </w:r>
    </w:p>
    <w:p w14:paraId="045A3C8B" w14:textId="77777777" w:rsidR="00040448" w:rsidRPr="00F53530" w:rsidRDefault="00040448" w:rsidP="00C44821">
      <w:pPr>
        <w:spacing w:before="240" w:after="240" w:line="240" w:lineRule="auto"/>
        <w:jc w:val="both"/>
        <w:rPr>
          <w:rFonts w:ascii="Times New Roman" w:hAnsi="Times New Roman"/>
        </w:rPr>
      </w:pPr>
      <w:r w:rsidRPr="00E159E5">
        <w:rPr>
          <w:rFonts w:ascii="Times New Roman" w:hAnsi="Times New Roman"/>
          <w:b/>
          <w:bCs/>
        </w:rPr>
        <w:t>ARTÍCULO 92.</w:t>
      </w:r>
      <w:r w:rsidR="00E159E5">
        <w:rPr>
          <w:rFonts w:ascii="Times New Roman" w:hAnsi="Times New Roman"/>
          <w:b/>
          <w:bCs/>
        </w:rPr>
        <w:t xml:space="preserve"> </w:t>
      </w:r>
      <w:r w:rsidRPr="00F53530">
        <w:rPr>
          <w:rFonts w:ascii="Times New Roman" w:hAnsi="Times New Roman"/>
        </w:rPr>
        <w:t xml:space="preserve">Modifíquense el inciso primero y el parágrafo 5 y adiciónese el parágrafo 7, al artículo 240 del </w:t>
      </w:r>
      <w:r w:rsidR="00E8658E">
        <w:rPr>
          <w:rFonts w:ascii="Times New Roman" w:hAnsi="Times New Roman"/>
        </w:rPr>
        <w:t>*</w:t>
      </w:r>
      <w:r w:rsidRPr="00F53530">
        <w:rPr>
          <w:rFonts w:ascii="Times New Roman" w:hAnsi="Times New Roman"/>
        </w:rPr>
        <w:t>Estatuto Tributario, los cuales quedarán así:</w:t>
      </w:r>
    </w:p>
    <w:p w14:paraId="045A3C8C" w14:textId="77777777" w:rsidR="00040448" w:rsidRPr="00F53530" w:rsidRDefault="00040448" w:rsidP="00C44821">
      <w:pPr>
        <w:spacing w:before="240" w:after="240" w:line="240" w:lineRule="auto"/>
        <w:jc w:val="both"/>
        <w:rPr>
          <w:rFonts w:ascii="Times New Roman" w:hAnsi="Times New Roman"/>
          <w:i/>
        </w:rPr>
      </w:pPr>
      <w:r w:rsidRPr="00C44460">
        <w:rPr>
          <w:rFonts w:ascii="Times New Roman" w:hAnsi="Times New Roman"/>
          <w:b/>
          <w:bCs/>
          <w:i/>
        </w:rPr>
        <w:t>Artículo 240</w:t>
      </w:r>
      <w:r w:rsidR="00280B8A" w:rsidRPr="00C44460">
        <w:rPr>
          <w:rFonts w:ascii="Times New Roman" w:hAnsi="Times New Roman"/>
          <w:b/>
          <w:bCs/>
          <w:i/>
        </w:rPr>
        <w:t>.</w:t>
      </w:r>
      <w:r w:rsidRPr="00C44460">
        <w:rPr>
          <w:rFonts w:ascii="Times New Roman" w:hAnsi="Times New Roman"/>
          <w:b/>
          <w:bCs/>
          <w:i/>
        </w:rPr>
        <w:t xml:space="preserve"> Tarifa general para personas jurídicas.</w:t>
      </w:r>
      <w:r w:rsidRPr="00F53530">
        <w:rPr>
          <w:rFonts w:ascii="Times New Roman" w:hAnsi="Times New Roman"/>
          <w:i/>
        </w:rPr>
        <w:t xml:space="preserve"> La tarifa general 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complementarios, será del treinta y dos por ciento (32%) para el año gravable 2020, treinta y uno por ciento (31%) para el año gravable 2021 y del treinta por ciento (30%) a partir del año gravable 2022.</w:t>
      </w:r>
    </w:p>
    <w:p w14:paraId="045A3C8D" w14:textId="77777777" w:rsidR="00040448" w:rsidRPr="00F53530" w:rsidRDefault="00280B8A" w:rsidP="00C44821">
      <w:pPr>
        <w:spacing w:before="240" w:after="240" w:line="240" w:lineRule="auto"/>
        <w:jc w:val="both"/>
        <w:rPr>
          <w:rFonts w:ascii="Times New Roman" w:hAnsi="Times New Roman"/>
          <w:i/>
        </w:rPr>
      </w:pPr>
      <w:r w:rsidRPr="00C44460">
        <w:rPr>
          <w:rFonts w:ascii="Times New Roman" w:hAnsi="Times New Roman"/>
          <w:b/>
          <w:bCs/>
          <w:i/>
        </w:rPr>
        <w:t>PARÁGRAFO 5</w:t>
      </w:r>
      <w:r w:rsidRPr="00F53530">
        <w:rPr>
          <w:rFonts w:ascii="Times New Roman" w:hAnsi="Times New Roman"/>
          <w:i/>
        </w:rPr>
        <w:t xml:space="preserve">. </w:t>
      </w:r>
      <w:r w:rsidR="00040448" w:rsidRPr="00F53530">
        <w:rPr>
          <w:rFonts w:ascii="Times New Roman" w:hAnsi="Times New Roman"/>
          <w:i/>
        </w:rPr>
        <w:t>Las siguientes rentas están gravadas a la tarifa del 9%:</w:t>
      </w:r>
    </w:p>
    <w:p w14:paraId="045A3C8E" w14:textId="259A212F"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a) Servicios prestados en nuevos hoteles que se construyan en municipios de hasta doscientos mil habitantes, tal y como lo certifique la autoridad competente a 31 de diciembre de 2016, dentro de los diez (10) años siguientes a partir de la entrada en vigencia de la </w:t>
      </w:r>
      <w:hyperlink r:id="rId87" w:history="1">
        <w:r w:rsidRPr="00FB68BE">
          <w:rPr>
            <w:rStyle w:val="Hipervnculo"/>
            <w:rFonts w:ascii="Times New Roman" w:hAnsi="Times New Roman"/>
            <w:i/>
          </w:rPr>
          <w:t>Ley 1943 de 2018</w:t>
        </w:r>
      </w:hyperlink>
      <w:r w:rsidRPr="00F53530">
        <w:rPr>
          <w:rFonts w:ascii="Times New Roman" w:hAnsi="Times New Roman"/>
          <w:i/>
        </w:rPr>
        <w:t>, por un término de 20 años;</w:t>
      </w:r>
    </w:p>
    <w:p w14:paraId="045A3C8F" w14:textId="4DAB5A08"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b) Servicios prestados en hoteles que se remodelen y/o amplíen en municipios de hasta doscientos mil habitantes, tal y como lo certifique la autoridad competente a 31 de diciembre de 2016, dentro de los diez (10) años siguientes a la entrada en vigencia de la </w:t>
      </w:r>
      <w:hyperlink r:id="rId88" w:history="1">
        <w:r w:rsidRPr="00FB68BE">
          <w:rPr>
            <w:rStyle w:val="Hipervnculo"/>
            <w:rFonts w:ascii="Times New Roman" w:hAnsi="Times New Roman"/>
            <w:i/>
          </w:rPr>
          <w:t>Ley 1943 de 2018</w:t>
        </w:r>
      </w:hyperlink>
      <w:r w:rsidRPr="00F53530">
        <w:rPr>
          <w:rFonts w:ascii="Times New Roman" w:hAnsi="Times New Roman"/>
          <w:i/>
        </w:rPr>
        <w:t>, por un término de 20 años. El tratamiento previsto en este numeral corresponderá a la proporción que represente el valor de la remodelación y/o ampliación en el costo fiscal del inmueble remodelado y/o ampliado, para lo cual se requiere aprobación previa del proyecto por parte de la Curaduría Urbana o en su defecto de la Alcaldía Municipal del domicilio del inmueble remodelado y/o ampliado.</w:t>
      </w:r>
    </w:p>
    <w:p w14:paraId="045A3C90" w14:textId="25A5629F"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c) A partir del 1 de enero de 2019, servicios prestados en nuevos hoteles que se construyan en municipios de igual o superior a doscientos mil habitantes, tal y como lo certifique la autoridad competente a 31 de diciembre de 2018, dentro de los cuatro (4) años siguientes a partir de la entrada en vigencia de la </w:t>
      </w:r>
      <w:hyperlink r:id="rId89" w:history="1">
        <w:r w:rsidRPr="00FB68BE">
          <w:rPr>
            <w:rStyle w:val="Hipervnculo"/>
            <w:rFonts w:ascii="Times New Roman" w:hAnsi="Times New Roman"/>
            <w:i/>
          </w:rPr>
          <w:t>Ley 1943 de 2018</w:t>
        </w:r>
      </w:hyperlink>
      <w:r w:rsidRPr="00F53530">
        <w:rPr>
          <w:rFonts w:ascii="Times New Roman" w:hAnsi="Times New Roman"/>
          <w:i/>
        </w:rPr>
        <w:t>, por un término de diez (10) años.</w:t>
      </w:r>
    </w:p>
    <w:p w14:paraId="045A3C91" w14:textId="08EFB730"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d) A partir del 1 de enero de 2019, servicios prestados en hoteles que se remodelen y/o amplíen en municipios de igual o superior a doscientos mil habitantes, tal y como lo certifique la autoridad competente a 31 de diciembre de 2018, dentro de los cuatro (4) años siguientes a la entrada en vigencia de la </w:t>
      </w:r>
      <w:hyperlink r:id="rId90" w:history="1">
        <w:r w:rsidRPr="00FB68BE">
          <w:rPr>
            <w:rStyle w:val="Hipervnculo"/>
            <w:rFonts w:ascii="Times New Roman" w:hAnsi="Times New Roman"/>
            <w:i/>
          </w:rPr>
          <w:t>Ley 1943 de 2018</w:t>
        </w:r>
      </w:hyperlink>
      <w:r w:rsidRPr="00F53530">
        <w:rPr>
          <w:rFonts w:ascii="Times New Roman" w:hAnsi="Times New Roman"/>
          <w:i/>
        </w:rPr>
        <w:t>, por un término de diez (10) años, siempre y cuando el valor de la remodelación y/o ampliación no sea inferior al cincuenta por ciento (50%) del valor de adquisición del inmueble remodelado y/o ampliado, conforme a las reglas del artículo 90 de este Estatuto. Para efectos de la remodelación y/o ampliación, se requiere aprobación previa del proyecto por parte de la Curaduría Urbana o en su defecto de la Alcaldía Municipal del domicilio del inmueble remodelado y/o ampliado.</w:t>
      </w:r>
    </w:p>
    <w:p w14:paraId="045A3C9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e) Las rentas exentas a las que tengan derecho las personas naturales que presten servicios hoteleros conforme a la legislación vigente en el momento de la construcción de nuevos hoteles, remodelación </w:t>
      </w:r>
      <w:r w:rsidRPr="00F53530">
        <w:rPr>
          <w:rFonts w:ascii="Times New Roman" w:hAnsi="Times New Roman"/>
          <w:i/>
        </w:rPr>
        <w:lastRenderedPageBreak/>
        <w:t>y/o ampliación de hoteles, no estarán sujetas a las limitantes previstas en el numeral 3 del artículo 336 de este Estatuto.</w:t>
      </w:r>
    </w:p>
    <w:p w14:paraId="045A3C93" w14:textId="7EB2ABEF"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f) A partir del 1 de enero de 2019, los nuevos proyectos de parques temáticos, nuevos proyectos de parques de ecoturismo y agroturismo y nuevos muelles náuticos, que se construyan en municipios de hasta 200.000 habitantes, tal y como lo certifique la autoridad competente a 31 de diciembre de 2018, dentro de los diez (10) años siguientes a partir de la entrada en vigencia de la </w:t>
      </w:r>
      <w:hyperlink r:id="rId91" w:history="1">
        <w:r w:rsidRPr="00FB68BE">
          <w:rPr>
            <w:rStyle w:val="Hipervnculo"/>
            <w:rFonts w:ascii="Times New Roman" w:hAnsi="Times New Roman"/>
            <w:i/>
          </w:rPr>
          <w:t>Ley 1943 de 2018</w:t>
        </w:r>
      </w:hyperlink>
      <w:r w:rsidRPr="00F53530">
        <w:rPr>
          <w:rFonts w:ascii="Times New Roman" w:hAnsi="Times New Roman"/>
          <w:i/>
        </w:rPr>
        <w:t xml:space="preserve"> por un término de veinte (20) años.</w:t>
      </w:r>
    </w:p>
    <w:p w14:paraId="045A3C94" w14:textId="5DAD74B5"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g) A partir del 1 de enero de 2019, los nuevos proyectos de parques temáticos, nuevos proyectos de parques de ecoturismo y agroturismo y nuevos muelles náuticos, que se construyan en municipios de igual o superior a 200.000 habitantes, tal y como lo certifique la autoridad competente a 31 de diciembre de 2018, dentro de los cuatro (4) años siguientes a partir de la entrada en vigencia de la </w:t>
      </w:r>
      <w:hyperlink r:id="rId92" w:history="1">
        <w:r w:rsidRPr="00FB68BE">
          <w:rPr>
            <w:rStyle w:val="Hipervnculo"/>
            <w:rFonts w:ascii="Times New Roman" w:hAnsi="Times New Roman"/>
            <w:i/>
          </w:rPr>
          <w:t>Ley 1943 de 2018</w:t>
        </w:r>
      </w:hyperlink>
      <w:r w:rsidRPr="00F53530">
        <w:rPr>
          <w:rFonts w:ascii="Times New Roman" w:hAnsi="Times New Roman"/>
          <w:i/>
        </w:rPr>
        <w:t>, por un término de diez (10) años.</w:t>
      </w:r>
    </w:p>
    <w:p w14:paraId="045A3C9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h) Lo previsto en este parágrafo no será aplicable a moteles y residencias.</w:t>
      </w:r>
    </w:p>
    <w:p w14:paraId="045A3C9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i) A partir del 1 de enero de 2020, los servicios prestados en parques temáticos, que se remodelen y/o amplíen, dentro de los cuatro (4) años siguientes a la entrada en vigencia de la presente ley, por un término de diez (10) años, siempre y cuando el valor de la remodelación y/o ampliación no sea inferior al cincuenta por ciento (50%) de sus activos. Los activos se deberán valorar conforme al artículo 90 del </w:t>
      </w:r>
      <w:r w:rsidR="00E8658E">
        <w:rPr>
          <w:rFonts w:ascii="Times New Roman" w:hAnsi="Times New Roman"/>
          <w:i/>
        </w:rPr>
        <w:t>*</w:t>
      </w:r>
      <w:r w:rsidRPr="00F53530">
        <w:rPr>
          <w:rFonts w:ascii="Times New Roman" w:hAnsi="Times New Roman"/>
          <w:i/>
        </w:rPr>
        <w:t>Estatuto Tributario. Dicha remodelación y/o ampliación debe estar autorizada por la Curaduría Urbana o en su defecto de la Alcaldía Municipal del domicilio del parque temático.</w:t>
      </w:r>
    </w:p>
    <w:p w14:paraId="045A3C97" w14:textId="77777777" w:rsidR="00040448" w:rsidRPr="00F53530" w:rsidRDefault="00280B8A" w:rsidP="00C44821">
      <w:pPr>
        <w:spacing w:before="240" w:after="240" w:line="240" w:lineRule="auto"/>
        <w:jc w:val="both"/>
        <w:rPr>
          <w:rFonts w:ascii="Times New Roman" w:hAnsi="Times New Roman"/>
          <w:i/>
        </w:rPr>
      </w:pPr>
      <w:r w:rsidRPr="00C44460">
        <w:rPr>
          <w:rFonts w:ascii="Times New Roman" w:hAnsi="Times New Roman"/>
          <w:b/>
          <w:bCs/>
          <w:i/>
        </w:rPr>
        <w:t xml:space="preserve">PARÁGRAFO </w:t>
      </w:r>
      <w:r w:rsidR="004A79AA">
        <w:rPr>
          <w:rFonts w:ascii="Times New Roman" w:hAnsi="Times New Roman"/>
          <w:b/>
          <w:bCs/>
          <w:i/>
        </w:rPr>
        <w:t>7</w:t>
      </w:r>
      <w:r w:rsidRPr="00C44460">
        <w:rPr>
          <w:rFonts w:ascii="Times New Roman" w:hAnsi="Times New Roman"/>
          <w:b/>
          <w:bCs/>
          <w:i/>
        </w:rPr>
        <w:t>.</w:t>
      </w:r>
      <w:r w:rsidRPr="00F53530">
        <w:rPr>
          <w:rFonts w:ascii="Times New Roman" w:hAnsi="Times New Roman"/>
          <w:i/>
        </w:rPr>
        <w:t xml:space="preserve"> </w:t>
      </w:r>
      <w:r w:rsidR="00040448" w:rsidRPr="00F53530">
        <w:rPr>
          <w:rFonts w:ascii="Times New Roman" w:hAnsi="Times New Roman"/>
          <w:i/>
        </w:rPr>
        <w:t>Las instituciones financieras deberán liquidar unos puntos adicionales al impuesto de renta y complementarios durante los siguientes periodos gravables:</w:t>
      </w:r>
    </w:p>
    <w:p w14:paraId="045A3C9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Para el año gravable 2020, adicionales, de cuatro (4) puntos porcentuales sobre la tarifa general del impuesto, siendo en total del treinta y seis por ciento (36%).</w:t>
      </w:r>
    </w:p>
    <w:p w14:paraId="045A3C9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Para el año gravable 2021, adicionales, de tres (3) puntos porcentuales sobre la tarifa general del impuesto, siendo en total del treinta y cuatro por ciento (34%).</w:t>
      </w:r>
    </w:p>
    <w:p w14:paraId="045A3C9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Para el año gravable 2022, adicionales, de tres (3) puntos porcentuales sobre la tarifa general del impuesto, siendo en total del treinta y tres por ciento (33%).</w:t>
      </w:r>
    </w:p>
    <w:p w14:paraId="045A3C9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puntos adicionales de los que trata el presente parágrafo solo son aplicables a las personas jurídicas que, en el año gravable correspondiente, tengan una renta gravable igual o superior a 120.000 UVT.</w:t>
      </w:r>
    </w:p>
    <w:p w14:paraId="045A3C9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sobretasa de que trata este parágrafo está sujeta, para los tres periodos gravables aplicables,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14:paraId="045A3C9D"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Con el fin de contribuir al bienestar general y al mejoramiento de la calidad de vida de la población, el recaudo por concepto de la sobretasa de que trata este parágrafo se destinará a la financiación de carreteras y vías de la Red Vial Terciaria. El Gobierno nacional determinará las condiciones y la </w:t>
      </w:r>
      <w:r w:rsidRPr="00F53530">
        <w:rPr>
          <w:rFonts w:ascii="Times New Roman" w:hAnsi="Times New Roman"/>
          <w:i/>
        </w:rPr>
        <w:lastRenderedPageBreak/>
        <w:t>forma de asignación de los recursos recaudados, así como el mecanismo para la ejecución de los mismos.</w:t>
      </w:r>
    </w:p>
    <w:p w14:paraId="045A3C9E" w14:textId="2A998065" w:rsidR="00B87102" w:rsidRPr="00B87102" w:rsidRDefault="00B87102" w:rsidP="00B87102">
      <w:pPr>
        <w:numPr>
          <w:ilvl w:val="0"/>
          <w:numId w:val="4"/>
        </w:numPr>
        <w:spacing w:before="240" w:after="240" w:line="240" w:lineRule="auto"/>
        <w:jc w:val="both"/>
        <w:rPr>
          <w:rFonts w:ascii="Times New Roman" w:hAnsi="Times New Roman"/>
          <w:highlight w:val="cyan"/>
        </w:rPr>
      </w:pPr>
      <w:r w:rsidRPr="00B87102">
        <w:rPr>
          <w:rFonts w:ascii="Times New Roman" w:hAnsi="Times New Roman"/>
          <w:highlight w:val="cyan"/>
        </w:rPr>
        <w:t xml:space="preserve">Parágrafo 7 del artículo 92 declarado EXEQUIBLE por la Corte Constitucional mediante </w:t>
      </w:r>
      <w:hyperlink r:id="rId93" w:history="1">
        <w:r w:rsidRPr="00B87102">
          <w:rPr>
            <w:rStyle w:val="Hipervnculo"/>
            <w:rFonts w:ascii="Times New Roman" w:hAnsi="Times New Roman"/>
            <w:highlight w:val="cyan"/>
          </w:rPr>
          <w:t>Sentencia C-057 de 11 de marzo de 2021</w:t>
        </w:r>
      </w:hyperlink>
      <w:r w:rsidRPr="00B87102">
        <w:rPr>
          <w:rFonts w:ascii="Times New Roman" w:hAnsi="Times New Roman"/>
          <w:highlight w:val="cyan"/>
        </w:rPr>
        <w:t>, Magistrada Ponente Dra. Paola Andrea Meneses Mosquera.</w:t>
      </w:r>
    </w:p>
    <w:p w14:paraId="045A3C9F" w14:textId="77777777" w:rsidR="00E8658E" w:rsidRPr="00F53530" w:rsidRDefault="00E8658E"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A0" w14:textId="77777777" w:rsidR="00040448" w:rsidRPr="00F53530" w:rsidRDefault="00040448" w:rsidP="00C44821">
      <w:pPr>
        <w:spacing w:before="240" w:after="240" w:line="240" w:lineRule="auto"/>
        <w:jc w:val="both"/>
        <w:rPr>
          <w:rFonts w:ascii="Times New Roman" w:hAnsi="Times New Roman"/>
        </w:rPr>
      </w:pPr>
      <w:r w:rsidRPr="00E159E5">
        <w:rPr>
          <w:rFonts w:ascii="Times New Roman" w:hAnsi="Times New Roman"/>
          <w:b/>
          <w:bCs/>
        </w:rPr>
        <w:t>ARTÍCULO 93.</w:t>
      </w:r>
      <w:r w:rsidR="00E159E5">
        <w:rPr>
          <w:rFonts w:ascii="Times New Roman" w:hAnsi="Times New Roman"/>
          <w:b/>
          <w:bCs/>
        </w:rPr>
        <w:t xml:space="preserve"> </w:t>
      </w:r>
      <w:r w:rsidRPr="00F53530">
        <w:rPr>
          <w:rFonts w:ascii="Times New Roman" w:hAnsi="Times New Roman"/>
        </w:rPr>
        <w:t xml:space="preserve">Modifíquese el artículo 254 del </w:t>
      </w:r>
      <w:r w:rsidR="00E8658E">
        <w:rPr>
          <w:rFonts w:ascii="Times New Roman" w:hAnsi="Times New Roman"/>
        </w:rPr>
        <w:t>*</w:t>
      </w:r>
      <w:r w:rsidRPr="00F53530">
        <w:rPr>
          <w:rFonts w:ascii="Times New Roman" w:hAnsi="Times New Roman"/>
        </w:rPr>
        <w:t>Estatuto Tributario, el cual quedará así:</w:t>
      </w:r>
    </w:p>
    <w:p w14:paraId="045A3CA1" w14:textId="77777777" w:rsidR="00040448" w:rsidRPr="00F53530" w:rsidRDefault="00040448" w:rsidP="00C44821">
      <w:pPr>
        <w:spacing w:before="240" w:after="240" w:line="240" w:lineRule="auto"/>
        <w:jc w:val="both"/>
        <w:rPr>
          <w:rFonts w:ascii="Times New Roman" w:hAnsi="Times New Roman"/>
          <w:i/>
        </w:rPr>
      </w:pPr>
      <w:r w:rsidRPr="001607EA">
        <w:rPr>
          <w:rFonts w:ascii="Times New Roman" w:hAnsi="Times New Roman"/>
          <w:b/>
          <w:bCs/>
          <w:i/>
        </w:rPr>
        <w:t>Artículo 254</w:t>
      </w:r>
      <w:r w:rsidR="00280B8A" w:rsidRPr="001607EA">
        <w:rPr>
          <w:rFonts w:ascii="Times New Roman" w:hAnsi="Times New Roman"/>
          <w:b/>
          <w:bCs/>
          <w:i/>
        </w:rPr>
        <w:t>.</w:t>
      </w:r>
      <w:r w:rsidRPr="001607EA">
        <w:rPr>
          <w:rFonts w:ascii="Times New Roman" w:hAnsi="Times New Roman"/>
          <w:b/>
          <w:bCs/>
          <w:i/>
        </w:rPr>
        <w:t xml:space="preserve"> Descuento por impuestos pagados en el exterior.</w:t>
      </w:r>
      <w:r w:rsidRPr="00F53530">
        <w:rPr>
          <w:rFonts w:ascii="Times New Roman" w:hAnsi="Times New Roman"/>
          <w:i/>
        </w:rPr>
        <w:t xml:space="preserve"> Las personas naturales residentes en el país y las sociedades y entidades nacionales, que sean contribuyentes del impuesto sobre la renta y complementarios y que perciban rentas de fuente extranjera sujetas al impuesto sobre la renta en el país de origen, tienen derecho a descontar del monto del impuesto colombiano de renta y complementarios, el impuesto pagado en el extranjero, cualquiera sea su denominación, liquidado sobre esas mismas rentas, siempre que el descuento no exceda del monto del impuesto que deba pagar el contribuyente en Colombia por esas mismas rentas. Para efectos de esta limitación general, las rentas del exterior deben depurarse imputando ingresos, costos y gastos.</w:t>
      </w:r>
    </w:p>
    <w:p w14:paraId="045A3CA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Cuando se trate de dividendos o participaciones provenientes de sociedades domiciliadas en el exterior, habrá lugar a un descuento tributario en el impuesto sobre la renta y complementarios por los impuestos sobre la renta pagados en el exterior, de la siguiente forma:</w:t>
      </w:r>
    </w:p>
    <w:p w14:paraId="045A3CA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El valor del descuento equivale al resultado de multiplicar el monto de los dividendos o participaciones por la tarifa efectiva del impuesto sobre la renta a la que hayan estado sometidas las utilidades comerciales que los generaron.</w:t>
      </w:r>
    </w:p>
    <w:p w14:paraId="045A3CA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Cuando la sociedad que reparte los dividendos o participaciones gravados en Colombia haya recibido a su vez dividendos o participaciones de otras sociedades, ubicadas en la misma o en otras jurisdicciones, el valor del descuento equivale al resultado de multiplicar el monto de los dividendos o participaciones percibidos por el contribuyente nacional, por la tarifa efectiva a la que hayan estado sometidas las utilidades comerciales que los generaron.</w:t>
      </w:r>
    </w:p>
    <w:p w14:paraId="045A3CA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 Para tener derecho al descuento a que se refiere el literal a) del presente artículo, el contribuyente nacional debe poseer una participación directa en el capital de la sociedad de la cual recibe los dividendos o participaciones (excluyendo las acciones o participaciones sin derecho a voto). Para el caso del literal b), el contribuyente nacional deberá poseer indirectamente una participación en el capital de la subsidiaria o subsidiarias (excluyendo las acciones o participaciones sin derecho a voto). Las participaciones directas e indirectas señaladas en el presente literal deben corresponder a inversiones que constituyan activos fijos para el contribuyente en Colombia, con lo que el descuento tributario indirecto no sería aplicable a las inversiones de portafolio o destinadas a especular en mercados de valores.</w:t>
      </w:r>
    </w:p>
    <w:p w14:paraId="045A3CA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d) Cuando los dividendos o participaciones percibidos por el contribuyente nacional hayan estado gravados en el país de origen, el descuento se incrementará en el monto de tal gravamen.</w:t>
      </w:r>
    </w:p>
    <w:p w14:paraId="045A3CA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e) En ningún caso el descuento a que se refieren los literales anteriores podrá exceder el monto del impuesto de renta y complementarios, generado en Colombia por tales dividendos, menos los costos y gastos imputables.</w:t>
      </w:r>
    </w:p>
    <w:p w14:paraId="045A3CA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f) Para tener derecho al descuento a que se refieren los literales a), b) y d), el contribuyente deberá probar el pago en cada jurisdicción aportando certificado fiscal del pago del impuesto expedido por la autoridad tributaria respectiva o en su defecto con una prueba idónea. Adicionalmente, se deberá contar con un certificado del revisor fiscal de la sociedad que distribuye los dividendos, en que se pueda constatar el valor de la utilidad comercial, el valor de la utilidad fiscal, la tarifa de impuesto y el impuesto efectivamente pagado por dicha sociedad. La tarifa efectiva será el porcentaje que resulte de dividir el valor del impuesto efectivamente pagado en las utilidades comerciales de la sociedad extranjera operativa antes de impuestos.</w:t>
      </w:r>
    </w:p>
    <w:p w14:paraId="045A3CA9" w14:textId="77777777" w:rsidR="00040448" w:rsidRPr="00F53530" w:rsidRDefault="00280B8A" w:rsidP="00C44821">
      <w:pPr>
        <w:spacing w:before="240" w:after="240" w:line="240" w:lineRule="auto"/>
        <w:jc w:val="both"/>
        <w:rPr>
          <w:rFonts w:ascii="Times New Roman" w:hAnsi="Times New Roman"/>
          <w:i/>
        </w:rPr>
      </w:pPr>
      <w:r w:rsidRPr="001607EA">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El impuesto sobre la renta pagado en el exterior podrá ser tratado como descuento en el año gravable en el cual se haya realizado el pago, o en cualquiera de los períodos gravables siguientes sin perjuicio de lo previsto en el artículo 259 de este Estatuto. En todo caso, el exceso de impuesto descontable que se trate como descuento en otros períodos gravables tiene como límite el impuesto sobre la renta y complementarios generado en Colombia sobre las rentas de fuente extranjera de igual naturaleza a las que dieron origen a dicho descuento.</w:t>
      </w:r>
    </w:p>
    <w:p w14:paraId="045A3CAA" w14:textId="77777777" w:rsidR="00040448" w:rsidRDefault="00280B8A" w:rsidP="00C44821">
      <w:pPr>
        <w:spacing w:before="240" w:after="240" w:line="240" w:lineRule="auto"/>
        <w:jc w:val="both"/>
        <w:rPr>
          <w:rFonts w:ascii="Times New Roman" w:hAnsi="Times New Roman"/>
          <w:i/>
        </w:rPr>
      </w:pPr>
      <w:r w:rsidRPr="001607EA">
        <w:rPr>
          <w:rFonts w:ascii="Times New Roman" w:hAnsi="Times New Roman"/>
          <w:b/>
          <w:bCs/>
          <w:i/>
        </w:rPr>
        <w:t>PARÁGRAFO 2.</w:t>
      </w:r>
      <w:r w:rsidR="00A03C6F" w:rsidRPr="00F53530">
        <w:rPr>
          <w:rFonts w:ascii="Times New Roman" w:hAnsi="Times New Roman"/>
          <w:i/>
        </w:rPr>
        <w:t xml:space="preserve"> </w:t>
      </w:r>
      <w:r w:rsidR="00040448" w:rsidRPr="00F53530">
        <w:rPr>
          <w:rFonts w:ascii="Times New Roman" w:hAnsi="Times New Roman"/>
          <w:i/>
        </w:rPr>
        <w:t>Cuando de acuerdo con la aplicación del régimen ECE el residente colombiano realice una atribución de algunas rentas pasivas y no de la totalidad de las rentas de la ECE, el descuento tributario corresponde al impuesto efectivamente pagado por la ECE sobre las mismas rentas, el cual deberá certificarse por la ECE y no podrá ser superior al porcentaje del ingreso atribuido sobre el valor total de los ingresos de la ECE.</w:t>
      </w:r>
    </w:p>
    <w:p w14:paraId="045A3CAB" w14:textId="77777777" w:rsidR="00E8658E" w:rsidRPr="00F53530" w:rsidRDefault="00E8658E"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AC" w14:textId="77777777" w:rsidR="00040448" w:rsidRPr="00F53530" w:rsidRDefault="00040448" w:rsidP="00C44821">
      <w:pPr>
        <w:spacing w:before="240" w:after="240" w:line="240" w:lineRule="auto"/>
        <w:jc w:val="both"/>
        <w:rPr>
          <w:rFonts w:ascii="Times New Roman" w:hAnsi="Times New Roman"/>
        </w:rPr>
      </w:pPr>
      <w:r w:rsidRPr="00E159E5">
        <w:rPr>
          <w:rFonts w:ascii="Times New Roman" w:hAnsi="Times New Roman"/>
          <w:b/>
          <w:bCs/>
        </w:rPr>
        <w:t>ARTÍCULO 94.</w:t>
      </w:r>
      <w:r w:rsidR="00E159E5">
        <w:rPr>
          <w:rFonts w:ascii="Times New Roman" w:hAnsi="Times New Roman"/>
          <w:b/>
          <w:bCs/>
        </w:rPr>
        <w:t xml:space="preserve"> </w:t>
      </w:r>
      <w:r w:rsidRPr="00F53530">
        <w:rPr>
          <w:rFonts w:ascii="Times New Roman" w:hAnsi="Times New Roman"/>
        </w:rPr>
        <w:t xml:space="preserve">Adiciónese el parágrafo 2 al artículo 257 del </w:t>
      </w:r>
      <w:r w:rsidR="00E8658E">
        <w:rPr>
          <w:rFonts w:ascii="Times New Roman" w:hAnsi="Times New Roman"/>
        </w:rPr>
        <w:t>*</w:t>
      </w:r>
      <w:r w:rsidRPr="00F53530">
        <w:rPr>
          <w:rFonts w:ascii="Times New Roman" w:hAnsi="Times New Roman"/>
        </w:rPr>
        <w:t>Estatuto Tributario, el cual quedará así:</w:t>
      </w:r>
    </w:p>
    <w:p w14:paraId="045A3CAD" w14:textId="77777777" w:rsidR="00040448" w:rsidRDefault="00280B8A" w:rsidP="00C44821">
      <w:pPr>
        <w:spacing w:before="240" w:after="240" w:line="240" w:lineRule="auto"/>
        <w:jc w:val="both"/>
        <w:rPr>
          <w:rFonts w:ascii="Times New Roman" w:hAnsi="Times New Roman"/>
          <w:i/>
        </w:rPr>
      </w:pPr>
      <w:r w:rsidRPr="00001349">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Todos los usuarios de las entidades financieras vigiladas por la Superintendencia Financiera de Colombia tendrán la posibilidad de efectuar donaciones para el financiamiento y sostenimiento de las Instituciones de Educación Superior Públicas a través de los cajeros automáticos, páginas web y plataformas digitales pertenecientes a dichas entidades financieras, quienes emitirán los certificados de donación a fin de que los donantes puedan tomar el descuento tributario en los términos previstos en los artículos 257 y 258 del Estatuto Tributario. La Dirección de Impuestos y Aduanas Nacionales (DIAN) mediante resolución reglamentará lo dispuesto en este artículo.</w:t>
      </w:r>
    </w:p>
    <w:p w14:paraId="045A3CAE" w14:textId="77777777" w:rsidR="00E8658E" w:rsidRPr="00F53530" w:rsidRDefault="00E8658E"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AF" w14:textId="77777777" w:rsidR="00040448" w:rsidRPr="00F53530" w:rsidRDefault="00040448" w:rsidP="00C44821">
      <w:pPr>
        <w:spacing w:before="240" w:after="240" w:line="240" w:lineRule="auto"/>
        <w:jc w:val="both"/>
        <w:rPr>
          <w:rFonts w:ascii="Times New Roman" w:hAnsi="Times New Roman"/>
        </w:rPr>
      </w:pPr>
      <w:r w:rsidRPr="00E159E5">
        <w:rPr>
          <w:rFonts w:ascii="Times New Roman" w:hAnsi="Times New Roman"/>
          <w:b/>
          <w:bCs/>
        </w:rPr>
        <w:t>ARTÍCULO 95.</w:t>
      </w:r>
      <w:r w:rsidR="00E159E5">
        <w:rPr>
          <w:rFonts w:ascii="Times New Roman" w:hAnsi="Times New Roman"/>
          <w:b/>
          <w:bCs/>
        </w:rPr>
        <w:t xml:space="preserve"> </w:t>
      </w:r>
      <w:r w:rsidRPr="00F53530">
        <w:rPr>
          <w:rFonts w:ascii="Times New Roman" w:hAnsi="Times New Roman"/>
        </w:rPr>
        <w:t xml:space="preserve">Adiciónese el artículo 258-1 al </w:t>
      </w:r>
      <w:r w:rsidR="00E8658E">
        <w:rPr>
          <w:rFonts w:ascii="Times New Roman" w:hAnsi="Times New Roman"/>
        </w:rPr>
        <w:t>*</w:t>
      </w:r>
      <w:r w:rsidRPr="00F53530">
        <w:rPr>
          <w:rFonts w:ascii="Times New Roman" w:hAnsi="Times New Roman"/>
        </w:rPr>
        <w:t>Estatuto Tributario, el cual quedará así:</w:t>
      </w:r>
    </w:p>
    <w:p w14:paraId="045A3CB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Artículo 258-1</w:t>
      </w:r>
      <w:r w:rsidR="00280B8A" w:rsidRPr="00F53530">
        <w:rPr>
          <w:rFonts w:ascii="Times New Roman" w:hAnsi="Times New Roman"/>
          <w:i/>
        </w:rPr>
        <w:t>.</w:t>
      </w:r>
      <w:r w:rsidRPr="00F53530">
        <w:rPr>
          <w:rFonts w:ascii="Times New Roman" w:hAnsi="Times New Roman"/>
          <w:i/>
        </w:rPr>
        <w:t xml:space="preserve"> Impuesto sobre las ventas en la importación, formación, construcción o adquisición de activos fijos reales productivos. </w:t>
      </w:r>
      <w:r w:rsidRPr="00F3324F">
        <w:rPr>
          <w:rFonts w:ascii="Times New Roman" w:hAnsi="Times New Roman"/>
          <w:i/>
          <w:u w:val="single"/>
        </w:rPr>
        <w:t>Los responsables del impuesto sobre las ventas (IVA)</w:t>
      </w:r>
      <w:r w:rsidRPr="00F53530">
        <w:rPr>
          <w:rFonts w:ascii="Times New Roman" w:hAnsi="Times New Roman"/>
          <w:i/>
        </w:rPr>
        <w:t xml:space="preserve"> podrán descontar del impuesto sobre la renta a cargo, correspondiente al año en el que se efectúe su pago, </w:t>
      </w:r>
      <w:r w:rsidRPr="00F53530">
        <w:rPr>
          <w:rFonts w:ascii="Times New Roman" w:hAnsi="Times New Roman"/>
          <w:i/>
        </w:rPr>
        <w:lastRenderedPageBreak/>
        <w:t>o en cualquiera de los periodos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periodos gravables siguientes.</w:t>
      </w:r>
    </w:p>
    <w:p w14:paraId="045A3CB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14:paraId="045A3CB2"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El IVA de que trata esta disposición no podrá tomarse simultáneamente como costo o gasto en el impuesto sobre la renta ni será descontable del impuesto sobre las ventas (IVA).</w:t>
      </w:r>
    </w:p>
    <w:p w14:paraId="045A3CB3" w14:textId="2BBDCF04" w:rsidR="004822D4" w:rsidRPr="00FE206A" w:rsidRDefault="004822D4" w:rsidP="00FE206A">
      <w:pPr>
        <w:numPr>
          <w:ilvl w:val="0"/>
          <w:numId w:val="9"/>
        </w:numPr>
        <w:spacing w:before="240" w:after="240" w:line="240" w:lineRule="auto"/>
        <w:jc w:val="both"/>
        <w:rPr>
          <w:rFonts w:ascii="Times New Roman" w:hAnsi="Times New Roman"/>
          <w:bCs/>
          <w:highlight w:val="cyan"/>
        </w:rPr>
      </w:pPr>
      <w:r w:rsidRPr="00FE206A">
        <w:rPr>
          <w:rFonts w:ascii="Times New Roman" w:hAnsi="Times New Roman"/>
          <w:bCs/>
          <w:highlight w:val="cyan"/>
        </w:rPr>
        <w:t>Aparte subrayado del</w:t>
      </w:r>
      <w:r w:rsidR="00FE206A" w:rsidRPr="00FE206A">
        <w:rPr>
          <w:rFonts w:ascii="Times New Roman" w:hAnsi="Times New Roman"/>
          <w:bCs/>
          <w:highlight w:val="cyan"/>
        </w:rPr>
        <w:t xml:space="preserve"> </w:t>
      </w:r>
      <w:r w:rsidRPr="00FE206A">
        <w:rPr>
          <w:rFonts w:ascii="Times New Roman" w:hAnsi="Times New Roman"/>
          <w:bCs/>
          <w:highlight w:val="cyan"/>
        </w:rPr>
        <w:t xml:space="preserve">artículo </w:t>
      </w:r>
      <w:r w:rsidR="00FE206A" w:rsidRPr="00FE206A">
        <w:rPr>
          <w:rFonts w:ascii="Times New Roman" w:hAnsi="Times New Roman"/>
          <w:bCs/>
          <w:highlight w:val="cyan"/>
        </w:rPr>
        <w:t>95</w:t>
      </w:r>
      <w:r w:rsidRPr="00FE206A">
        <w:rPr>
          <w:rFonts w:ascii="Times New Roman" w:hAnsi="Times New Roman"/>
          <w:bCs/>
          <w:highlight w:val="cyan"/>
        </w:rPr>
        <w:t xml:space="preserve"> declarado CONDICIONALMENTE EXEQUIBLE </w:t>
      </w:r>
      <w:r w:rsidRPr="00FE206A">
        <w:rPr>
          <w:rFonts w:ascii="Times New Roman" w:hAnsi="Times New Roman"/>
          <w:bCs/>
          <w:i/>
          <w:highlight w:val="cyan"/>
        </w:rPr>
        <w:t>«</w:t>
      </w:r>
      <w:r w:rsidR="00FE206A" w:rsidRPr="00FE206A">
        <w:rPr>
          <w:highlight w:val="cyan"/>
        </w:rPr>
        <w:t xml:space="preserve"> </w:t>
      </w:r>
      <w:r w:rsidR="00FE206A" w:rsidRPr="00FE206A">
        <w:rPr>
          <w:rFonts w:ascii="Times New Roman" w:hAnsi="Times New Roman"/>
          <w:bCs/>
          <w:i/>
          <w:highlight w:val="cyan"/>
        </w:rPr>
        <w:t>en el entendido de que al beneficio tributario contemplado por la norma también podrán acceder aquellos sujetos que no son responsables del impuesto sobre las ventas (IVA)</w:t>
      </w:r>
      <w:r w:rsidRPr="00FE206A">
        <w:rPr>
          <w:rFonts w:ascii="Times New Roman" w:hAnsi="Times New Roman"/>
          <w:bCs/>
          <w:i/>
          <w:highlight w:val="cyan"/>
        </w:rPr>
        <w:t>»,</w:t>
      </w:r>
      <w:r w:rsidRPr="00FE206A">
        <w:rPr>
          <w:rFonts w:ascii="Times New Roman" w:hAnsi="Times New Roman"/>
          <w:bCs/>
          <w:highlight w:val="cyan"/>
        </w:rPr>
        <w:t xml:space="preserve"> por la Corte Constitucional mediante </w:t>
      </w:r>
      <w:hyperlink r:id="rId94" w:history="1">
        <w:r w:rsidRPr="00FE206A">
          <w:rPr>
            <w:rStyle w:val="Hipervnculo"/>
            <w:rFonts w:ascii="Times New Roman" w:hAnsi="Times New Roman"/>
            <w:bCs/>
            <w:highlight w:val="cyan"/>
          </w:rPr>
          <w:t>Sentencia C-040 de 25 de febrero de 2021</w:t>
        </w:r>
      </w:hyperlink>
      <w:r w:rsidRPr="00FE206A">
        <w:rPr>
          <w:rFonts w:ascii="Times New Roman" w:hAnsi="Times New Roman"/>
          <w:bCs/>
          <w:highlight w:val="cyan"/>
        </w:rPr>
        <w:t>, Magistrado Ponente Dr. Antonio José Lizarazo Ocampo.</w:t>
      </w:r>
    </w:p>
    <w:p w14:paraId="045A3CB4" w14:textId="51C547B9" w:rsidR="00F3324F" w:rsidRPr="00F4618A" w:rsidRDefault="00F3324F" w:rsidP="00F3324F">
      <w:pPr>
        <w:numPr>
          <w:ilvl w:val="0"/>
          <w:numId w:val="9"/>
        </w:numPr>
        <w:spacing w:after="0" w:line="240" w:lineRule="auto"/>
        <w:jc w:val="both"/>
        <w:rPr>
          <w:rFonts w:ascii="Times New Roman" w:hAnsi="Times New Roman"/>
          <w:highlight w:val="cyan"/>
        </w:rPr>
      </w:pPr>
      <w:r w:rsidRPr="00F4618A">
        <w:rPr>
          <w:rFonts w:ascii="Times New Roman" w:hAnsi="Times New Roman"/>
          <w:highlight w:val="cyan"/>
        </w:rPr>
        <w:t xml:space="preserve">Aparte subrayado del artículo </w:t>
      </w:r>
      <w:r>
        <w:rPr>
          <w:rFonts w:ascii="Times New Roman" w:hAnsi="Times New Roman"/>
          <w:highlight w:val="cyan"/>
        </w:rPr>
        <w:t>95</w:t>
      </w:r>
      <w:r w:rsidRPr="00F4618A">
        <w:rPr>
          <w:rFonts w:ascii="Times New Roman" w:hAnsi="Times New Roman"/>
          <w:highlight w:val="cyan"/>
        </w:rPr>
        <w:t xml:space="preserve"> declarado EXEQUIBLE por la Corte Constitucional mediante </w:t>
      </w:r>
      <w:hyperlink r:id="rId95" w:history="1">
        <w:r w:rsidRPr="00F4618A">
          <w:rPr>
            <w:rStyle w:val="Hipervnculo"/>
            <w:rFonts w:ascii="Times New Roman" w:hAnsi="Times New Roman"/>
            <w:highlight w:val="cyan"/>
          </w:rPr>
          <w:t>Sentencia C-379 de 2 de septiembre de 2020</w:t>
        </w:r>
      </w:hyperlink>
      <w:r w:rsidRPr="00F4618A">
        <w:rPr>
          <w:rFonts w:ascii="Times New Roman" w:hAnsi="Times New Roman"/>
          <w:highlight w:val="cyan"/>
        </w:rPr>
        <w:t>, Magistrada Ponente Dra. Cristina Pardo Schlesinger.</w:t>
      </w:r>
    </w:p>
    <w:p w14:paraId="045A3CB5" w14:textId="77777777" w:rsidR="00E8658E" w:rsidRPr="00F53530" w:rsidRDefault="00E8658E"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B6" w14:textId="77777777" w:rsidR="00040448" w:rsidRPr="00F53530" w:rsidRDefault="00040448" w:rsidP="00C44821">
      <w:pPr>
        <w:spacing w:before="240" w:after="240" w:line="240" w:lineRule="auto"/>
        <w:jc w:val="both"/>
        <w:rPr>
          <w:rFonts w:ascii="Times New Roman" w:hAnsi="Times New Roman"/>
        </w:rPr>
      </w:pPr>
      <w:r w:rsidRPr="00E159E5">
        <w:rPr>
          <w:rFonts w:ascii="Times New Roman" w:hAnsi="Times New Roman"/>
          <w:b/>
          <w:bCs/>
        </w:rPr>
        <w:t>ARTÍCULO 96.</w:t>
      </w:r>
      <w:r w:rsidR="00E159E5">
        <w:rPr>
          <w:rFonts w:ascii="Times New Roman" w:hAnsi="Times New Roman"/>
          <w:b/>
          <w:bCs/>
        </w:rPr>
        <w:t xml:space="preserve"> </w:t>
      </w:r>
      <w:r w:rsidRPr="00F53530">
        <w:rPr>
          <w:rFonts w:ascii="Times New Roman" w:hAnsi="Times New Roman"/>
        </w:rPr>
        <w:t xml:space="preserve">Adiciónese el artículo 259-2 del </w:t>
      </w:r>
      <w:r w:rsidR="00E8658E">
        <w:rPr>
          <w:rFonts w:ascii="Times New Roman" w:hAnsi="Times New Roman"/>
        </w:rPr>
        <w:t>*</w:t>
      </w:r>
      <w:r w:rsidRPr="00F53530">
        <w:rPr>
          <w:rFonts w:ascii="Times New Roman" w:hAnsi="Times New Roman"/>
        </w:rPr>
        <w:t>Estatuto Tributario, el cual quedará así:</w:t>
      </w:r>
    </w:p>
    <w:p w14:paraId="045A3CB7" w14:textId="1BFB2ECB" w:rsidR="00040448" w:rsidRDefault="00040448" w:rsidP="00C44821">
      <w:pPr>
        <w:spacing w:before="240" w:after="240" w:line="240" w:lineRule="auto"/>
        <w:jc w:val="both"/>
        <w:rPr>
          <w:rFonts w:ascii="Times New Roman" w:hAnsi="Times New Roman"/>
          <w:i/>
        </w:rPr>
      </w:pPr>
      <w:r w:rsidRPr="00001349">
        <w:rPr>
          <w:rFonts w:ascii="Times New Roman" w:hAnsi="Times New Roman"/>
          <w:b/>
          <w:bCs/>
          <w:i/>
        </w:rPr>
        <w:t>Artículo 259-2</w:t>
      </w:r>
      <w:r w:rsidR="00280B8A" w:rsidRPr="00001349">
        <w:rPr>
          <w:rFonts w:ascii="Times New Roman" w:hAnsi="Times New Roman"/>
          <w:b/>
          <w:bCs/>
          <w:i/>
        </w:rPr>
        <w:t>.</w:t>
      </w:r>
      <w:r w:rsidRPr="00001349">
        <w:rPr>
          <w:rFonts w:ascii="Times New Roman" w:hAnsi="Times New Roman"/>
          <w:b/>
          <w:bCs/>
          <w:i/>
        </w:rPr>
        <w:t xml:space="preserve"> Eliminación de descuentos tributarios en el impuesto sobre la renta</w:t>
      </w:r>
      <w:r w:rsidRPr="00F53530">
        <w:rPr>
          <w:rFonts w:ascii="Times New Roman" w:hAnsi="Times New Roman"/>
          <w:i/>
        </w:rPr>
        <w:t>. Elimínense a partir del año gravable 2020 todos los descuentos tributarios aplicables al impuesto sobre la renta, que sean distintos de los contenidos en los artículos 115</w:t>
      </w:r>
      <w:r w:rsidR="009F6554" w:rsidRPr="00F53530">
        <w:rPr>
          <w:rFonts w:ascii="Times New Roman" w:hAnsi="Times New Roman"/>
          <w:i/>
        </w:rPr>
        <w:t>,</w:t>
      </w:r>
      <w:r w:rsidRPr="00F53530">
        <w:rPr>
          <w:rFonts w:ascii="Times New Roman" w:hAnsi="Times New Roman"/>
          <w:i/>
        </w:rPr>
        <w:t xml:space="preserve"> 254</w:t>
      </w:r>
      <w:r w:rsidR="009F6554" w:rsidRPr="00F53530">
        <w:rPr>
          <w:rFonts w:ascii="Times New Roman" w:hAnsi="Times New Roman"/>
          <w:i/>
        </w:rPr>
        <w:t>,</w:t>
      </w:r>
      <w:r w:rsidRPr="00F53530">
        <w:rPr>
          <w:rFonts w:ascii="Times New Roman" w:hAnsi="Times New Roman"/>
          <w:i/>
        </w:rPr>
        <w:t xml:space="preserve"> 255</w:t>
      </w:r>
      <w:r w:rsidR="009F6554" w:rsidRPr="00F53530">
        <w:rPr>
          <w:rFonts w:ascii="Times New Roman" w:hAnsi="Times New Roman"/>
          <w:i/>
        </w:rPr>
        <w:t>,</w:t>
      </w:r>
      <w:r w:rsidRPr="00F53530">
        <w:rPr>
          <w:rFonts w:ascii="Times New Roman" w:hAnsi="Times New Roman"/>
          <w:i/>
        </w:rPr>
        <w:t xml:space="preserve"> 256</w:t>
      </w:r>
      <w:r w:rsidR="009F6554" w:rsidRPr="00F53530">
        <w:rPr>
          <w:rFonts w:ascii="Times New Roman" w:hAnsi="Times New Roman"/>
          <w:i/>
        </w:rPr>
        <w:t>,</w:t>
      </w:r>
      <w:r w:rsidRPr="00F53530">
        <w:rPr>
          <w:rFonts w:ascii="Times New Roman" w:hAnsi="Times New Roman"/>
          <w:i/>
        </w:rPr>
        <w:t xml:space="preserve"> 256-1</w:t>
      </w:r>
      <w:r w:rsidR="009F6554" w:rsidRPr="00F53530">
        <w:rPr>
          <w:rFonts w:ascii="Times New Roman" w:hAnsi="Times New Roman"/>
          <w:i/>
        </w:rPr>
        <w:t>,</w:t>
      </w:r>
      <w:r w:rsidRPr="00F53530">
        <w:rPr>
          <w:rFonts w:ascii="Times New Roman" w:hAnsi="Times New Roman"/>
          <w:i/>
        </w:rPr>
        <w:t xml:space="preserve"> 257</w:t>
      </w:r>
      <w:r w:rsidR="009F6554" w:rsidRPr="00F53530">
        <w:rPr>
          <w:rFonts w:ascii="Times New Roman" w:hAnsi="Times New Roman"/>
          <w:i/>
        </w:rPr>
        <w:t>,</w:t>
      </w:r>
      <w:r w:rsidRPr="00F53530">
        <w:rPr>
          <w:rFonts w:ascii="Times New Roman" w:hAnsi="Times New Roman"/>
          <w:i/>
        </w:rPr>
        <w:t xml:space="preserve"> 257-1 y 258-1 del </w:t>
      </w:r>
      <w:r w:rsidR="00E8658E">
        <w:rPr>
          <w:rFonts w:ascii="Times New Roman" w:hAnsi="Times New Roman"/>
          <w:i/>
        </w:rPr>
        <w:t>*</w:t>
      </w:r>
      <w:r w:rsidRPr="00F53530">
        <w:rPr>
          <w:rFonts w:ascii="Times New Roman" w:hAnsi="Times New Roman"/>
          <w:i/>
        </w:rPr>
        <w:t xml:space="preserve">Estatuto Tributario, el artículo 104 de la </w:t>
      </w:r>
      <w:hyperlink r:id="rId96" w:history="1">
        <w:r w:rsidRPr="00020067">
          <w:rPr>
            <w:rStyle w:val="Hipervnculo"/>
            <w:rFonts w:ascii="Times New Roman" w:hAnsi="Times New Roman"/>
            <w:i/>
          </w:rPr>
          <w:t>Ley 788 de 2002</w:t>
        </w:r>
      </w:hyperlink>
      <w:r w:rsidRPr="00F53530">
        <w:rPr>
          <w:rFonts w:ascii="Times New Roman" w:hAnsi="Times New Roman"/>
          <w:i/>
        </w:rPr>
        <w:t xml:space="preserve"> y los previstos en esta ley para las Zomac.</w:t>
      </w:r>
    </w:p>
    <w:p w14:paraId="045A3CB8" w14:textId="77777777" w:rsidR="00E8658E" w:rsidRPr="00F53530" w:rsidRDefault="00E8658E"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B9" w14:textId="4B33BB9E" w:rsidR="00040448" w:rsidRPr="00F53530" w:rsidRDefault="00040448" w:rsidP="00C44821">
      <w:pPr>
        <w:spacing w:before="240" w:after="240" w:line="240" w:lineRule="auto"/>
        <w:jc w:val="both"/>
        <w:rPr>
          <w:rFonts w:ascii="Times New Roman" w:hAnsi="Times New Roman"/>
        </w:rPr>
      </w:pPr>
      <w:r w:rsidRPr="00E159E5">
        <w:rPr>
          <w:rFonts w:ascii="Times New Roman" w:hAnsi="Times New Roman"/>
          <w:b/>
          <w:bCs/>
        </w:rPr>
        <w:t>ARTÍCULO 97.</w:t>
      </w:r>
      <w:r w:rsidR="00E159E5">
        <w:rPr>
          <w:rFonts w:ascii="Times New Roman" w:hAnsi="Times New Roman"/>
          <w:b/>
          <w:bCs/>
        </w:rPr>
        <w:t xml:space="preserve"> </w:t>
      </w:r>
      <w:r w:rsidRPr="00F53530">
        <w:rPr>
          <w:rFonts w:ascii="Times New Roman" w:hAnsi="Times New Roman"/>
        </w:rPr>
        <w:t xml:space="preserve">Modifíquese el artículo 375 de la </w:t>
      </w:r>
      <w:hyperlink r:id="rId97" w:history="1">
        <w:r w:rsidRPr="00AB67B9">
          <w:rPr>
            <w:rStyle w:val="Hipervnculo"/>
            <w:rFonts w:ascii="Times New Roman" w:hAnsi="Times New Roman"/>
          </w:rPr>
          <w:t>Ley 1819 de 2016</w:t>
        </w:r>
      </w:hyperlink>
      <w:r w:rsidRPr="00F53530">
        <w:rPr>
          <w:rFonts w:ascii="Times New Roman" w:hAnsi="Times New Roman"/>
        </w:rPr>
        <w:t>, el cual quedará así:</w:t>
      </w:r>
    </w:p>
    <w:p w14:paraId="045A3CBA" w14:textId="77777777" w:rsidR="00040448" w:rsidRPr="00F53530" w:rsidRDefault="00040448" w:rsidP="00C44821">
      <w:pPr>
        <w:spacing w:before="240" w:after="240" w:line="240" w:lineRule="auto"/>
        <w:jc w:val="both"/>
        <w:rPr>
          <w:rFonts w:ascii="Times New Roman" w:hAnsi="Times New Roman"/>
          <w:i/>
        </w:rPr>
      </w:pPr>
      <w:r w:rsidRPr="009F21E8">
        <w:rPr>
          <w:rFonts w:ascii="Times New Roman" w:hAnsi="Times New Roman"/>
          <w:b/>
          <w:bCs/>
          <w:i/>
        </w:rPr>
        <w:t>Artículo 375</w:t>
      </w:r>
      <w:r w:rsidR="00280B8A" w:rsidRPr="009F21E8">
        <w:rPr>
          <w:rFonts w:ascii="Times New Roman" w:hAnsi="Times New Roman"/>
          <w:b/>
          <w:bCs/>
          <w:i/>
        </w:rPr>
        <w:t>.</w:t>
      </w:r>
      <w:r w:rsidRPr="00F53530">
        <w:rPr>
          <w:rFonts w:ascii="Times New Roman" w:hAnsi="Times New Roman"/>
          <w:i/>
        </w:rPr>
        <w:t xml:space="preserve"> Las instituciones prestadoras de salud (IPS) contribuyentes del impuesto sobre la renta podrán deducir la totalidad de la cartera, reconocida y certificada por el liquidador, correspondiente a los patrimonios de las Entidades Promotoras de Salud (EPS) que se encuentren en medida de intervención forzosa administrativa para liquidar por parte de la Superintendencia Nacional de Salud. En la medida en que recupere dicha cartera, las sumas recuperadas serán renta líquida gravable.</w:t>
      </w:r>
    </w:p>
    <w:p w14:paraId="045A3CBB" w14:textId="77777777" w:rsidR="00040448" w:rsidRPr="00F53530" w:rsidRDefault="00040448" w:rsidP="00C44821">
      <w:pPr>
        <w:spacing w:before="240" w:after="240" w:line="240" w:lineRule="auto"/>
        <w:jc w:val="both"/>
        <w:rPr>
          <w:rFonts w:ascii="Times New Roman" w:hAnsi="Times New Roman"/>
        </w:rPr>
      </w:pPr>
      <w:r w:rsidRPr="00E159E5">
        <w:rPr>
          <w:rFonts w:ascii="Times New Roman" w:hAnsi="Times New Roman"/>
          <w:b/>
          <w:bCs/>
        </w:rPr>
        <w:t>ARTÍCULO 98.</w:t>
      </w:r>
      <w:r w:rsidR="00E159E5">
        <w:rPr>
          <w:rFonts w:ascii="Times New Roman" w:hAnsi="Times New Roman"/>
          <w:b/>
          <w:bCs/>
        </w:rPr>
        <w:t xml:space="preserve"> </w:t>
      </w:r>
      <w:r w:rsidRPr="00F53530">
        <w:rPr>
          <w:rFonts w:ascii="Times New Roman" w:hAnsi="Times New Roman"/>
        </w:rPr>
        <w:t xml:space="preserve">Modifíquese el artículo 408 del </w:t>
      </w:r>
      <w:r w:rsidR="003E0CC0">
        <w:rPr>
          <w:rFonts w:ascii="Times New Roman" w:hAnsi="Times New Roman"/>
        </w:rPr>
        <w:t>*</w:t>
      </w:r>
      <w:r w:rsidRPr="00F53530">
        <w:rPr>
          <w:rFonts w:ascii="Times New Roman" w:hAnsi="Times New Roman"/>
        </w:rPr>
        <w:t>Estatuto Tributario, el cual quedará así:</w:t>
      </w:r>
    </w:p>
    <w:p w14:paraId="045A3CBC" w14:textId="77777777" w:rsidR="00040448" w:rsidRPr="00F53530" w:rsidRDefault="00040448" w:rsidP="00C44821">
      <w:pPr>
        <w:spacing w:before="240" w:after="240" w:line="240" w:lineRule="auto"/>
        <w:jc w:val="both"/>
        <w:rPr>
          <w:rFonts w:ascii="Times New Roman" w:hAnsi="Times New Roman"/>
          <w:i/>
        </w:rPr>
      </w:pPr>
      <w:r w:rsidRPr="009F21E8">
        <w:rPr>
          <w:rFonts w:ascii="Times New Roman" w:hAnsi="Times New Roman"/>
          <w:b/>
          <w:bCs/>
          <w:i/>
        </w:rPr>
        <w:lastRenderedPageBreak/>
        <w:t>Artículo 408</w:t>
      </w:r>
      <w:r w:rsidR="00280B8A" w:rsidRPr="009F21E8">
        <w:rPr>
          <w:rFonts w:ascii="Times New Roman" w:hAnsi="Times New Roman"/>
          <w:b/>
          <w:bCs/>
          <w:i/>
        </w:rPr>
        <w:t>.</w:t>
      </w:r>
      <w:r w:rsidRPr="009F21E8">
        <w:rPr>
          <w:rFonts w:ascii="Times New Roman" w:hAnsi="Times New Roman"/>
          <w:b/>
          <w:bCs/>
          <w:i/>
        </w:rPr>
        <w:t xml:space="preserve"> Tarifas para rentas de capital y de trabajo</w:t>
      </w:r>
      <w:r w:rsidRPr="00F53530">
        <w:rPr>
          <w:rFonts w:ascii="Times New Roman" w:hAnsi="Times New Roman"/>
          <w:i/>
        </w:rPr>
        <w:t>. En los casos de pagos o abonos en cuenta por concepto de intereses, comisiones, honorarios, regalías, arrendamientos, compensaciones por servicios personales, o explotación de toda especie de propiedad industrial o del know-how, prestación de servicios, beneficios o regalías provenientes de la propiedad literaria, artística y científica, explotación de películas cinematográficas y explotación de software, la tarifa de retención será del veinte por ciento (20%) del valor nominal del pago o abono en cuenta.</w:t>
      </w:r>
    </w:p>
    <w:p w14:paraId="045A3CB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pagos o abonos en cuenta por concepto de consultorías, servicios técnicos y de asistencia técnica, prestados por personas no residentes o no domiciliadas en Colombia, están sujetos a retención en la fuente a la tarifa única del veinte por ciento (20%), a título de impuestos de renta, bien sea que se presten en el país o desde el exterior.</w:t>
      </w:r>
    </w:p>
    <w:p w14:paraId="045A3CB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pagos o abonos en cuenta por concepto de rendimientos financieros, realizados a personas no residentes o no domiciliadas en el país, originados en créditos obtenidos en el exterior por término igual o superior a un (1) año o por concepto de intereses o costos financieros del canon de arrendamiento originados en contratos de leasing que se celebre directamente o a través de compañías de leasing con empresas extranjeras sin domicilio en Colombia, están sujetos a retención en la fuente a la tarifa del quince por ciento (15%) sobre el valor del pago o abono en cuenta que corresponda al interés o costo financiero.</w:t>
      </w:r>
    </w:p>
    <w:p w14:paraId="045A3CB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pagos o abonos en cuenta, originados en contratos de leasing sobre naves, helicópteros y/o aerodinos, así como sus partes que se celebren directamente o a través de compañías de leasing, con empresas extranjeras sin domicilio en Colombia, estarán sujetos a una tarifa de retención en la fuente del uno por ciento (1%).</w:t>
      </w:r>
    </w:p>
    <w:p w14:paraId="045A3CC0" w14:textId="79C6CEB9"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Los pagos o abonos en cuenta por concepto de rendimientos financieros o intereses, realizados a personas no residentes o no domiciliadas en el país, originados en créditos o valores de contenido crediticio, por término igual o superior a ocho (8) años, destinados a la financiación de proyectos de infraestructura bajo el esquema de Asociaciones Público-Privadas en el marco de la </w:t>
      </w:r>
      <w:hyperlink r:id="rId98" w:history="1">
        <w:r w:rsidRPr="00020067">
          <w:rPr>
            <w:rStyle w:val="Hipervnculo"/>
            <w:rFonts w:ascii="Times New Roman" w:hAnsi="Times New Roman"/>
            <w:i/>
          </w:rPr>
          <w:t>Ley 1508 de 2012</w:t>
        </w:r>
      </w:hyperlink>
      <w:r w:rsidRPr="00F53530">
        <w:rPr>
          <w:rFonts w:ascii="Times New Roman" w:hAnsi="Times New Roman"/>
          <w:i/>
        </w:rPr>
        <w:t>, estarán sujetos a una tarifa de retención en la fuente del cinco por ciento (5%) del valor del pago o abono en cuenta.</w:t>
      </w:r>
    </w:p>
    <w:p w14:paraId="045A3CC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pagos o abonos en cuenta por concepto de prima cedida por reaseguros realizados a personas no residentes o no domiciliadas en el país estarán sujetos a una retención en la fuente a título del impuesto sobre la renta y complementarios del uno por ciento (1%).</w:t>
      </w:r>
    </w:p>
    <w:p w14:paraId="045A3CC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Los pagos o abono en cuenta por concepto de administración o dirección de que trata el artículo 124 del </w:t>
      </w:r>
      <w:r w:rsidR="003E0CC0">
        <w:rPr>
          <w:rFonts w:ascii="Times New Roman" w:hAnsi="Times New Roman"/>
          <w:i/>
        </w:rPr>
        <w:t>*</w:t>
      </w:r>
      <w:r w:rsidRPr="00F53530">
        <w:rPr>
          <w:rFonts w:ascii="Times New Roman" w:hAnsi="Times New Roman"/>
          <w:i/>
        </w:rPr>
        <w:t>Estatuto Tributario, realizados a personas no residentes o no domiciliadas en el país, estarán sujetos a una retención en la fuente del treinta y tres por ciento (33%).</w:t>
      </w:r>
    </w:p>
    <w:p w14:paraId="045A3CC3" w14:textId="77777777" w:rsidR="00040448" w:rsidRPr="00F53530" w:rsidRDefault="00280B8A" w:rsidP="00C44821">
      <w:pPr>
        <w:spacing w:before="240" w:after="240" w:line="240" w:lineRule="auto"/>
        <w:jc w:val="both"/>
        <w:rPr>
          <w:rFonts w:ascii="Times New Roman" w:hAnsi="Times New Roman"/>
          <w:i/>
        </w:rPr>
      </w:pPr>
      <w:r w:rsidRPr="009F21E8">
        <w:rPr>
          <w:rFonts w:ascii="Times New Roman" w:hAnsi="Times New Roman"/>
          <w:b/>
          <w:bCs/>
          <w:i/>
        </w:rPr>
        <w:t>PARÁGRAFO.</w:t>
      </w:r>
      <w:r w:rsidR="00A03C6F" w:rsidRPr="00F53530">
        <w:rPr>
          <w:rFonts w:ascii="Times New Roman" w:hAnsi="Times New Roman"/>
          <w:i/>
        </w:rPr>
        <w:t xml:space="preserve"> </w:t>
      </w:r>
      <w:r w:rsidR="00040448" w:rsidRPr="00F53530">
        <w:rPr>
          <w:rFonts w:ascii="Times New Roman" w:hAnsi="Times New Roman"/>
          <w:i/>
        </w:rPr>
        <w:t>Los pagos o abonos en cuenta por cualquier concepto que constituyan ingreso gravado para su beneficiario y este sea residente o se encuentre constituido, localizado o en funcionamiento en jurisdicciones no cooperantes o de baja o nula imposición, que hayan sido calificados como tales por el Gobierno colombiano, o a entidades sometidas a un régimen tributario preferencial, se someterán a retención en la fuente por concepto de impuesto sobre la renta y ganancia ocasional a la tarifa general del impuesto sobre la renta y complementarios para personas jurídicas.</w:t>
      </w:r>
    </w:p>
    <w:p w14:paraId="045A3CC4" w14:textId="77777777" w:rsidR="00040448" w:rsidRPr="00F53530" w:rsidRDefault="000F1C49" w:rsidP="00C44821">
      <w:pPr>
        <w:spacing w:before="240" w:after="240" w:line="240" w:lineRule="auto"/>
        <w:jc w:val="both"/>
        <w:rPr>
          <w:rFonts w:ascii="Times New Roman" w:hAnsi="Times New Roman"/>
          <w:i/>
        </w:rPr>
      </w:pPr>
      <w:r w:rsidRPr="009F21E8">
        <w:rPr>
          <w:rFonts w:ascii="Times New Roman" w:hAnsi="Times New Roman"/>
          <w:b/>
          <w:bCs/>
          <w:i/>
        </w:rPr>
        <w:t>PARÁGRAFO TRANSITORIO 1.</w:t>
      </w:r>
      <w:r w:rsidR="00A03C6F" w:rsidRPr="00F53530">
        <w:rPr>
          <w:rFonts w:ascii="Times New Roman" w:hAnsi="Times New Roman"/>
          <w:i/>
        </w:rPr>
        <w:t xml:space="preserve"> </w:t>
      </w:r>
      <w:r w:rsidR="00040448" w:rsidRPr="00F53530">
        <w:rPr>
          <w:rFonts w:ascii="Times New Roman" w:hAnsi="Times New Roman"/>
          <w:i/>
        </w:rPr>
        <w:t xml:space="preserve">No se consideran renta de fuente nacional ni forman parte de la base para la determinación de impuesto sobre las ventas, los pagos o abonos en cuenta por concepto de servicios técnicos y de asistencia técnica prestados por personas no residentes o no domiciliadas </w:t>
      </w:r>
      <w:r w:rsidR="00040448" w:rsidRPr="00F53530">
        <w:rPr>
          <w:rFonts w:ascii="Times New Roman" w:hAnsi="Times New Roman"/>
          <w:i/>
        </w:rPr>
        <w:lastRenderedPageBreak/>
        <w:t>en Colombia, desde el exterior, necesarios para la ejecución de proyectos públicos y privados de infraestructura física, que hagan parte del Plan Nacional de Desarrollo, y cuya iniciación de obra sea anterior al 31 de diciembre de 1997, según certificación que respecto del cumplimiento de estos requisitos expida el Departamento Nacional de Planeación (DNP).</w:t>
      </w:r>
    </w:p>
    <w:p w14:paraId="045A3CC5" w14:textId="77777777" w:rsidR="00040448" w:rsidRDefault="000F1C49" w:rsidP="00C44821">
      <w:pPr>
        <w:spacing w:before="240" w:after="240" w:line="240" w:lineRule="auto"/>
        <w:jc w:val="both"/>
        <w:rPr>
          <w:rFonts w:ascii="Times New Roman" w:hAnsi="Times New Roman"/>
          <w:i/>
        </w:rPr>
      </w:pPr>
      <w:r w:rsidRPr="003930EA">
        <w:rPr>
          <w:rFonts w:ascii="Times New Roman" w:hAnsi="Times New Roman"/>
          <w:b/>
          <w:bCs/>
          <w:i/>
        </w:rPr>
        <w:t>PARÁGRAFO TRANSITORIO 2.</w:t>
      </w:r>
      <w:r w:rsidR="00A03C6F" w:rsidRPr="00F53530">
        <w:rPr>
          <w:rFonts w:ascii="Times New Roman" w:hAnsi="Times New Roman"/>
          <w:i/>
        </w:rPr>
        <w:t xml:space="preserve"> </w:t>
      </w:r>
      <w:r w:rsidR="00040448" w:rsidRPr="00F53530">
        <w:rPr>
          <w:rFonts w:ascii="Times New Roman" w:hAnsi="Times New Roman"/>
          <w:i/>
        </w:rPr>
        <w:t xml:space="preserve">Los intereses o cánones de arrendamiento financiero o leasing originados en créditos obtenidos en el exterior y en contratos de leasing celebrados antes del 31 de diciembre de 2010, a los que haya sido aplicable el numeral 5 del literal a) o el literal c) del artículo 25 del </w:t>
      </w:r>
      <w:r w:rsidR="003E0CC0">
        <w:rPr>
          <w:rFonts w:ascii="Times New Roman" w:hAnsi="Times New Roman"/>
          <w:i/>
        </w:rPr>
        <w:t>*</w:t>
      </w:r>
      <w:r w:rsidR="00040448" w:rsidRPr="00F53530">
        <w:rPr>
          <w:rFonts w:ascii="Times New Roman" w:hAnsi="Times New Roman"/>
          <w:i/>
        </w:rPr>
        <w:t>Estatuto Tributario, no se consideran rentas de fuente nacional y los pagos o abonos en cuenta por estos conceptos no están sujetos a retención en la fuente.</w:t>
      </w:r>
    </w:p>
    <w:p w14:paraId="045A3CC6" w14:textId="77777777" w:rsidR="003E0CC0" w:rsidRPr="00F53530" w:rsidRDefault="003E0CC0"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C7" w14:textId="77777777" w:rsidR="00F53530" w:rsidRDefault="00221338" w:rsidP="00C44821">
      <w:pPr>
        <w:pStyle w:val="Ttulo2"/>
      </w:pPr>
      <w:r w:rsidRPr="00F53530">
        <w:t>CAPÍTULO VI</w:t>
      </w:r>
      <w:r w:rsidR="00E159E5">
        <w:br/>
      </w:r>
      <w:r w:rsidR="00040448" w:rsidRPr="00F53530">
        <w:t>GRAVAME</w:t>
      </w:r>
      <w:r w:rsidRPr="00F53530">
        <w:t>N A LOS MOVIMIENTOS FINANCIEROS</w:t>
      </w:r>
    </w:p>
    <w:p w14:paraId="045A3CC8" w14:textId="77777777" w:rsidR="00040448" w:rsidRPr="00F53530" w:rsidRDefault="00040448" w:rsidP="00C44821">
      <w:pPr>
        <w:spacing w:before="240" w:after="240" w:line="240" w:lineRule="auto"/>
        <w:jc w:val="both"/>
        <w:rPr>
          <w:rFonts w:ascii="Times New Roman" w:hAnsi="Times New Roman"/>
        </w:rPr>
      </w:pPr>
      <w:r w:rsidRPr="00E159E5">
        <w:rPr>
          <w:rFonts w:ascii="Times New Roman" w:hAnsi="Times New Roman"/>
          <w:b/>
          <w:bCs/>
        </w:rPr>
        <w:t>ARTÍCULO 99.</w:t>
      </w:r>
      <w:r w:rsidR="00E159E5">
        <w:rPr>
          <w:rFonts w:ascii="Times New Roman" w:hAnsi="Times New Roman"/>
        </w:rPr>
        <w:t xml:space="preserve"> </w:t>
      </w:r>
      <w:r w:rsidRPr="00F53530">
        <w:rPr>
          <w:rFonts w:ascii="Times New Roman" w:hAnsi="Times New Roman"/>
        </w:rPr>
        <w:t xml:space="preserve">Modifíquense los numerales 11 y 21, y adiciónese el numeral 31 al artículo 879 del </w:t>
      </w:r>
      <w:r w:rsidR="003E0CC0">
        <w:rPr>
          <w:rFonts w:ascii="Times New Roman" w:hAnsi="Times New Roman"/>
        </w:rPr>
        <w:t>*</w:t>
      </w:r>
      <w:r w:rsidRPr="00F53530">
        <w:rPr>
          <w:rFonts w:ascii="Times New Roman" w:hAnsi="Times New Roman"/>
        </w:rPr>
        <w:t>Estatuto Tributario, los cuales quedarán así:</w:t>
      </w:r>
    </w:p>
    <w:p w14:paraId="045A3CC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11. Los desembolsos de crédito mediante abono a cuenta de ahorro o corriente o mediante expedición de cheques con cruce y negociabilidad restringida que realicen los establecimientos de crédito, las cooperativas con actividad financiera o las cooperativas de ahorro y crédito vigiladas por las Superintendencias Financiera o de Economía Solidaria respectivamente, o los créditos externos desembolsados en moneda legal por agentes no residentes en los términos de la regulación cambiaria del Banco de la República, siempre y cuando el desembolso se efectúe al deudor. Cuando el desembolso se haga a un tercero, solo será exento cuando el deudor destine el crédito a adquisición de vivienda, vehículos o activos fijos.</w:t>
      </w:r>
    </w:p>
    <w:p w14:paraId="045A3CC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desembolsos o pagos a terceros por conceptos tales como nómina, servicios, proveedores, adquisición de bienes o cualquier cumplimiento de obligaciones se encuentran sujetos al Gravamen a los Movimientos Financieros, salvo la utilización de las tarjetas de crédito de las cuales sean titulares las personas naturales, las cuales continúan siendo exentas.</w:t>
      </w:r>
    </w:p>
    <w:p w14:paraId="045A3CC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También se encuentran exentos los desembolsos efectuados por las compañías de financiamiento o bancos, para el pago a los comercializadores de bienes que serán entregados a terceros mediante contratos de leasing financiero con opción de compra.</w:t>
      </w:r>
    </w:p>
    <w:p w14:paraId="045A3CC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21. La disposición de recursos para la realización de operaciones de factoring, compra o descuento de cartera, realizadas por fondos de inversión colectiva, patrimonios autónomos, por personas naturales o jurídicas, o por entidades cuyo objeto sea la realización de este tipo de operaciones y que de acuerdo con la ley puedan realizarlas.</w:t>
      </w:r>
    </w:p>
    <w:p w14:paraId="045A3CC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efectos de esta exención, las personas y/o entidades que realicen estas operaciones podrán marcar como exentas del Gravamen a los Movimientos Financieros hasta diez (10) cuentas corrientes o de ahorro, depósitos electrónicos, cuentas de ahorro de trámite simplificado, cuentas de recaudo, cuentas de patrimonios autónomos, cuentas de encargos fiduciarios, cuentas de o en fondos de inversión colectiva y cuentas de o en fondos de capital privado, destinadas única y exclusivamente a estas operaciones, cuyo objeto sea el recaudo, desembolso y pago del fondeo de las mismas. Respecto a las cuentas de fondos de inversión colectiva.</w:t>
      </w:r>
    </w:p>
    <w:p w14:paraId="045A3CC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El giro de los recursos se deberá realizar solamente al beneficiario de la operación de factoring o descuento de cartera, mediante abono a cuenta de ahorro o corriente, depósitos electrónicos, cuentas de ahorro de trámite simplificado, cuentas de recaudo, cuentas de patrimonios autónomos, cuentas de encargos fiduciarios, cuentas de o en fondos de inversión colectiva y cuentas de o en fondos de capital privado, o mediante la expedición de cheques a los que les incluya la restricción: Para consignar en la cuenta de ahorro o corriente del primer beneficiario. En el evento de levantarse dicha restricción, se causará el gravamen a los movimientos financieros en cabeza de la persona que enajena sus facturas o cartera al fondo de inversión colectiva o patrimonio autónomo o el cliente de la sociedad o de la entidad. El Representante legal de la entidad administradora o de la sociedad o de la entidad o la persona natural, deberá manifestar bajo la gravedad del juramento que las cuentas de ahorros, corrientes, depósitos electrónicos, cuentas de ahorro electrónicas, cuentas de ahorro de trámite simplificado, cuentas de recaudo, cuentas de patrimonios autónomos, cuentas de encargos fiduciarios, cuentas de o en fondos de inversión colectiva, cuentas de o en fondos de capital privado, a marcar, según sea el caso, serán destinados única y exclusivamente a estas operaciones en las condiciones establecidas en este numeral.</w:t>
      </w:r>
    </w:p>
    <w:p w14:paraId="045A3CC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31. Los traslados y retiros totales o parciales del auxilio de cesantías y los intereses sobre cesantías que se realicen mediante abono en cuenta de ahorro, efectivo y/o cheque de gerencia estarán exentos del Gravamen a los Movimientos Financieros.</w:t>
      </w:r>
    </w:p>
    <w:p w14:paraId="045A3CD0" w14:textId="77777777" w:rsidR="00040448" w:rsidRPr="00F53530" w:rsidRDefault="00040448" w:rsidP="00C44821">
      <w:pPr>
        <w:spacing w:before="240" w:after="240" w:line="240" w:lineRule="auto"/>
        <w:jc w:val="both"/>
        <w:rPr>
          <w:rFonts w:ascii="Times New Roman" w:hAnsi="Times New Roman"/>
        </w:rPr>
      </w:pPr>
      <w:r w:rsidRPr="006740A2">
        <w:rPr>
          <w:rFonts w:ascii="Times New Roman" w:hAnsi="Times New Roman"/>
          <w:b/>
          <w:bCs/>
        </w:rPr>
        <w:t>ARTÍCULO 100.</w:t>
      </w:r>
      <w:r w:rsidR="006740A2">
        <w:rPr>
          <w:rFonts w:ascii="Times New Roman" w:hAnsi="Times New Roman"/>
          <w:b/>
          <w:bCs/>
        </w:rPr>
        <w:t xml:space="preserve"> </w:t>
      </w:r>
      <w:r w:rsidRPr="00F53530">
        <w:rPr>
          <w:rFonts w:ascii="Times New Roman" w:hAnsi="Times New Roman"/>
        </w:rPr>
        <w:t xml:space="preserve">Adiciónese el numeral 30 al artículo 879 del </w:t>
      </w:r>
      <w:r w:rsidR="003E0CC0">
        <w:rPr>
          <w:rFonts w:ascii="Times New Roman" w:hAnsi="Times New Roman"/>
        </w:rPr>
        <w:t>*</w:t>
      </w:r>
      <w:r w:rsidRPr="00F53530">
        <w:rPr>
          <w:rFonts w:ascii="Times New Roman" w:hAnsi="Times New Roman"/>
        </w:rPr>
        <w:t>Estatuto Tributario, el cual quedará así:</w:t>
      </w:r>
    </w:p>
    <w:p w14:paraId="045A3CD1"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30. La afectación de las cuentas de depósito en el Banco de la República que se origine en el retiro de efectivo en el Banco de la República.</w:t>
      </w:r>
    </w:p>
    <w:p w14:paraId="045A3CD2" w14:textId="77777777" w:rsidR="003E0CC0" w:rsidRPr="00F53530" w:rsidRDefault="003E0CC0"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D3" w14:textId="77777777" w:rsidR="00F53530" w:rsidRDefault="00040448" w:rsidP="00C44821">
      <w:pPr>
        <w:pStyle w:val="Ttulo1"/>
      </w:pPr>
      <w:r w:rsidRPr="00F53530">
        <w:t>T</w:t>
      </w:r>
      <w:r w:rsidR="00221338" w:rsidRPr="00F53530">
        <w:t>ÍTULO VI</w:t>
      </w:r>
      <w:r w:rsidR="006740A2">
        <w:br/>
      </w:r>
      <w:r w:rsidRPr="00F53530">
        <w:t xml:space="preserve">MEDIDAS DE SEGURIDAD JURÍDICA, </w:t>
      </w:r>
      <w:r w:rsidR="00221338" w:rsidRPr="00F53530">
        <w:t>SIMPLIFICACIÓN Y FACILICITACIÓN</w:t>
      </w:r>
    </w:p>
    <w:p w14:paraId="045A3CD4" w14:textId="77777777" w:rsidR="00F53530" w:rsidRDefault="00221338" w:rsidP="00C44821">
      <w:pPr>
        <w:pStyle w:val="Ttulo2"/>
      </w:pPr>
      <w:r w:rsidRPr="00F53530">
        <w:t>CAPÍTULO I</w:t>
      </w:r>
      <w:r w:rsidR="006740A2">
        <w:br/>
      </w:r>
      <w:r w:rsidRPr="00F53530">
        <w:t>PROCEDIMIENTO TRIBUTARIO</w:t>
      </w:r>
    </w:p>
    <w:p w14:paraId="045A3CD5" w14:textId="77777777" w:rsidR="00040448" w:rsidRPr="00F53530" w:rsidRDefault="00040448" w:rsidP="00C44821">
      <w:pPr>
        <w:spacing w:before="240" w:after="240" w:line="240" w:lineRule="auto"/>
        <w:jc w:val="both"/>
        <w:rPr>
          <w:rFonts w:ascii="Times New Roman" w:hAnsi="Times New Roman"/>
        </w:rPr>
      </w:pPr>
      <w:r w:rsidRPr="00290AC3">
        <w:rPr>
          <w:rFonts w:ascii="Times New Roman" w:hAnsi="Times New Roman"/>
          <w:b/>
          <w:bCs/>
        </w:rPr>
        <w:t>ARTÍCULO 101.</w:t>
      </w:r>
      <w:r w:rsidR="00290AC3">
        <w:rPr>
          <w:rFonts w:ascii="Times New Roman" w:hAnsi="Times New Roman"/>
        </w:rPr>
        <w:t xml:space="preserve"> </w:t>
      </w:r>
      <w:r w:rsidRPr="00F53530">
        <w:rPr>
          <w:rFonts w:ascii="Times New Roman" w:hAnsi="Times New Roman"/>
        </w:rPr>
        <w:t xml:space="preserve">Modifíquese el inciso 5 del artículo 580-1 del </w:t>
      </w:r>
      <w:r w:rsidR="006F126A">
        <w:rPr>
          <w:rFonts w:ascii="Times New Roman" w:hAnsi="Times New Roman"/>
        </w:rPr>
        <w:t>*</w:t>
      </w:r>
      <w:r w:rsidRPr="00F53530">
        <w:rPr>
          <w:rFonts w:ascii="Times New Roman" w:hAnsi="Times New Roman"/>
        </w:rPr>
        <w:t>Estatuto Tributario, el cual quedará así:</w:t>
      </w:r>
    </w:p>
    <w:p w14:paraId="045A3CD6"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La declaración de retención en la fuente que se haya presentado sin pago total antes del vencimiento del plazo para declarar producirá efectos legales, siempre y cuando el pago total de la retención se efectúe o se haya efectuado a más tardar dentro de los dos (2) meses siguientes contados a partir de la fecha del vencimiento del plazo para declarar. Lo anterior sin perjuicio de la liquidación de los intereses moratorios a que haya lugar. En todo caso, mientras el contribuyente no presente nuevamente la declaración de retención en la fuente con el pago respectivo, la declaración inicialmente presentada se entiende como documento que reconoce una obligación clara, expresa y exigible que podrá ser utilizado por la Administración Tributaria en los procesos de cobro coactivo, aún cuando en el sistema la declaración tenga una marca de ineficaz para el agente retenedor bajo los presupuestos establecidos en este artículo.</w:t>
      </w:r>
    </w:p>
    <w:p w14:paraId="045A3CD7" w14:textId="77777777" w:rsidR="006F126A" w:rsidRPr="00F53530" w:rsidRDefault="006F126A" w:rsidP="00C44821">
      <w:pPr>
        <w:spacing w:before="240" w:after="240" w:line="240" w:lineRule="auto"/>
        <w:jc w:val="both"/>
        <w:rPr>
          <w:rFonts w:ascii="Times New Roman" w:hAnsi="Times New Roman"/>
          <w:i/>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D8" w14:textId="77777777" w:rsidR="00040448" w:rsidRPr="00F53530" w:rsidRDefault="00040448" w:rsidP="00C44821">
      <w:pPr>
        <w:spacing w:before="240" w:after="240" w:line="240" w:lineRule="auto"/>
        <w:jc w:val="both"/>
        <w:rPr>
          <w:rFonts w:ascii="Times New Roman" w:hAnsi="Times New Roman"/>
        </w:rPr>
      </w:pPr>
      <w:r w:rsidRPr="00663410">
        <w:rPr>
          <w:rFonts w:ascii="Times New Roman" w:hAnsi="Times New Roman"/>
          <w:b/>
          <w:bCs/>
        </w:rPr>
        <w:t>ARTÍCULO 102.</w:t>
      </w:r>
      <w:r w:rsidR="00663410">
        <w:rPr>
          <w:rFonts w:ascii="Times New Roman" w:hAnsi="Times New Roman"/>
          <w:b/>
          <w:bCs/>
        </w:rPr>
        <w:t xml:space="preserve"> </w:t>
      </w:r>
      <w:r w:rsidRPr="00F53530">
        <w:rPr>
          <w:rFonts w:ascii="Times New Roman" w:hAnsi="Times New Roman"/>
        </w:rPr>
        <w:t xml:space="preserve">Adiciónese un parágrafo al artículo 562 del </w:t>
      </w:r>
      <w:r w:rsidR="007359D6">
        <w:rPr>
          <w:rFonts w:ascii="Times New Roman" w:hAnsi="Times New Roman"/>
        </w:rPr>
        <w:t>*</w:t>
      </w:r>
      <w:r w:rsidRPr="00F53530">
        <w:rPr>
          <w:rFonts w:ascii="Times New Roman" w:hAnsi="Times New Roman"/>
        </w:rPr>
        <w:t>Estatuto Tributario, el cual quedará así:</w:t>
      </w:r>
    </w:p>
    <w:p w14:paraId="045A3CD9" w14:textId="2822C7C5" w:rsidR="00040448" w:rsidRDefault="00280B8A" w:rsidP="00C44821">
      <w:pPr>
        <w:spacing w:before="240" w:after="240" w:line="240" w:lineRule="auto"/>
        <w:jc w:val="both"/>
        <w:rPr>
          <w:rFonts w:ascii="Times New Roman" w:hAnsi="Times New Roman"/>
          <w:i/>
        </w:rPr>
      </w:pPr>
      <w:r w:rsidRPr="00C34BB2">
        <w:rPr>
          <w:rFonts w:ascii="Times New Roman" w:hAnsi="Times New Roman"/>
          <w:b/>
          <w:bCs/>
          <w:i/>
        </w:rPr>
        <w:t>PARÁGRAFO.</w:t>
      </w:r>
      <w:r w:rsidRPr="00F53530">
        <w:rPr>
          <w:rFonts w:ascii="Times New Roman" w:hAnsi="Times New Roman"/>
          <w:i/>
        </w:rPr>
        <w:t xml:space="preserve"> </w:t>
      </w:r>
      <w:r w:rsidR="00040448" w:rsidRPr="00F53530">
        <w:rPr>
          <w:rFonts w:ascii="Times New Roman" w:hAnsi="Times New Roman"/>
          <w:i/>
        </w:rPr>
        <w:t xml:space="preserve">El empleo de Director Seccional de Impuestos de Grandes Contribuyentes es de libre nombramiento y remoción; su provisión le compete al Director General de la Dirección de Impuestos y Aduanas Nacionales (DIAN) mediante nombramiento ordinario, exceptuándose de lo dispuesto en el numeral 2 del artículo 333 de la </w:t>
      </w:r>
      <w:hyperlink r:id="rId99" w:history="1">
        <w:r w:rsidR="00040448" w:rsidRPr="00AB67B9">
          <w:rPr>
            <w:rStyle w:val="Hipervnculo"/>
            <w:rFonts w:ascii="Times New Roman" w:hAnsi="Times New Roman"/>
            <w:i/>
          </w:rPr>
          <w:t>Ley 1819 de 2016</w:t>
        </w:r>
      </w:hyperlink>
      <w:r w:rsidR="00040448" w:rsidRPr="00F53530">
        <w:rPr>
          <w:rFonts w:ascii="Times New Roman" w:hAnsi="Times New Roman"/>
          <w:i/>
        </w:rPr>
        <w:t xml:space="preserve"> y en el parágrafo del artículo 6 del </w:t>
      </w:r>
      <w:hyperlink r:id="rId100" w:history="1">
        <w:r w:rsidR="00040448" w:rsidRPr="00C5581B">
          <w:rPr>
            <w:rStyle w:val="Hipervnculo"/>
            <w:rFonts w:ascii="Times New Roman" w:hAnsi="Times New Roman"/>
            <w:i/>
          </w:rPr>
          <w:t>Decreto 4050 del 2008</w:t>
        </w:r>
      </w:hyperlink>
      <w:r w:rsidR="00040448" w:rsidRPr="00F53530">
        <w:rPr>
          <w:rFonts w:ascii="Times New Roman" w:hAnsi="Times New Roman"/>
          <w:i/>
        </w:rPr>
        <w:t>.</w:t>
      </w:r>
    </w:p>
    <w:p w14:paraId="045A3CDA" w14:textId="77777777" w:rsidR="007359D6" w:rsidRPr="00F53530" w:rsidRDefault="007359D6"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DB" w14:textId="77777777" w:rsidR="00040448" w:rsidRPr="00F53530" w:rsidRDefault="00040448" w:rsidP="00C44821">
      <w:pPr>
        <w:spacing w:before="240" w:after="240" w:line="240" w:lineRule="auto"/>
        <w:jc w:val="both"/>
        <w:rPr>
          <w:rFonts w:ascii="Times New Roman" w:hAnsi="Times New Roman"/>
        </w:rPr>
      </w:pPr>
      <w:r w:rsidRPr="00663410">
        <w:rPr>
          <w:rFonts w:ascii="Times New Roman" w:hAnsi="Times New Roman"/>
          <w:b/>
          <w:bCs/>
        </w:rPr>
        <w:t>ARTÍCULO 103.</w:t>
      </w:r>
      <w:r w:rsidR="00663410">
        <w:rPr>
          <w:rFonts w:ascii="Times New Roman" w:hAnsi="Times New Roman"/>
          <w:b/>
          <w:bCs/>
        </w:rPr>
        <w:t xml:space="preserve"> </w:t>
      </w:r>
      <w:r w:rsidRPr="00F53530">
        <w:rPr>
          <w:rFonts w:ascii="Times New Roman" w:hAnsi="Times New Roman"/>
        </w:rPr>
        <w:t xml:space="preserve">Adiciónese un inciso y un parágrafo al artículo 563 del </w:t>
      </w:r>
      <w:r w:rsidR="00E15C8A">
        <w:rPr>
          <w:rFonts w:ascii="Times New Roman" w:hAnsi="Times New Roman"/>
        </w:rPr>
        <w:t>*</w:t>
      </w:r>
      <w:r w:rsidRPr="00F53530">
        <w:rPr>
          <w:rFonts w:ascii="Times New Roman" w:hAnsi="Times New Roman"/>
        </w:rPr>
        <w:t>Estatuto Tributario, el cual quedará así:</w:t>
      </w:r>
    </w:p>
    <w:p w14:paraId="045A3CD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Cuando el contribuyente, responsable, agente retenedor y/o declarante informe a la Dirección de Impuestos y Aduanas Nacionales (DIAN) a través del Registro Único Tributario (RUT) una dirección de correo electrónico, todos los actos administrativos le serán notificados a la misma. La notificación por medios electrónicos será el mecanismo preferente de notificación de los actos de la Dirección de Impuestos y Aduanas Nacionales (DIAN).</w:t>
      </w:r>
    </w:p>
    <w:p w14:paraId="045A3CDD" w14:textId="77777777" w:rsidR="00040448" w:rsidRDefault="00280B8A" w:rsidP="00C44821">
      <w:pPr>
        <w:spacing w:before="240" w:after="240" w:line="240" w:lineRule="auto"/>
        <w:jc w:val="both"/>
        <w:rPr>
          <w:rFonts w:ascii="Times New Roman" w:hAnsi="Times New Roman"/>
          <w:i/>
        </w:rPr>
      </w:pPr>
      <w:r w:rsidRPr="00F95237">
        <w:rPr>
          <w:rFonts w:ascii="Times New Roman" w:hAnsi="Times New Roman"/>
          <w:b/>
          <w:bCs/>
          <w:i/>
        </w:rPr>
        <w:t>PARÁGRAFO.</w:t>
      </w:r>
      <w:r w:rsidRPr="00F53530">
        <w:rPr>
          <w:rFonts w:ascii="Times New Roman" w:hAnsi="Times New Roman"/>
          <w:i/>
        </w:rPr>
        <w:t xml:space="preserve"> </w:t>
      </w:r>
      <w:r w:rsidR="00040448" w:rsidRPr="00F53530">
        <w:rPr>
          <w:rFonts w:ascii="Times New Roman" w:hAnsi="Times New Roman"/>
          <w:i/>
        </w:rPr>
        <w:t>Lo dispuesto en este artículo aplica para la notificación de los actos administrativos expedidos por la Unidad de Gestión Pensional y Parafiscales (UGPP) y será el mecanismo preferente de notificación.</w:t>
      </w:r>
    </w:p>
    <w:p w14:paraId="045A3CDE" w14:textId="77777777" w:rsidR="00E15C8A" w:rsidRPr="00F53530" w:rsidRDefault="00E15C8A"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DF" w14:textId="77777777" w:rsidR="00040448" w:rsidRPr="00F53530" w:rsidRDefault="00040448" w:rsidP="00C44821">
      <w:pPr>
        <w:spacing w:before="240" w:after="240" w:line="240" w:lineRule="auto"/>
        <w:jc w:val="both"/>
        <w:rPr>
          <w:rFonts w:ascii="Times New Roman" w:hAnsi="Times New Roman"/>
        </w:rPr>
      </w:pPr>
      <w:r w:rsidRPr="00663410">
        <w:rPr>
          <w:rFonts w:ascii="Times New Roman" w:hAnsi="Times New Roman"/>
          <w:b/>
          <w:bCs/>
        </w:rPr>
        <w:t>ARTÍCULO 104.</w:t>
      </w:r>
      <w:r w:rsidR="00663410">
        <w:rPr>
          <w:rFonts w:ascii="Times New Roman" w:hAnsi="Times New Roman"/>
          <w:b/>
          <w:bCs/>
        </w:rPr>
        <w:t xml:space="preserve"> </w:t>
      </w:r>
      <w:r w:rsidRPr="00F53530">
        <w:rPr>
          <w:rFonts w:ascii="Times New Roman" w:hAnsi="Times New Roman"/>
        </w:rPr>
        <w:t xml:space="preserve">Modifíquese el inciso 2 y adiciónense el parágrafo 4 y el parágrafo 5 al artículo 565 del </w:t>
      </w:r>
      <w:r w:rsidR="00687C02">
        <w:rPr>
          <w:rFonts w:ascii="Times New Roman" w:hAnsi="Times New Roman"/>
        </w:rPr>
        <w:t>*</w:t>
      </w:r>
      <w:r w:rsidRPr="00F53530">
        <w:rPr>
          <w:rFonts w:ascii="Times New Roman" w:hAnsi="Times New Roman"/>
        </w:rPr>
        <w:t>Estatuto Tributario, los cuales quedarán así:</w:t>
      </w:r>
    </w:p>
    <w:p w14:paraId="045A3CE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Las providencias que decidan recursos se notificarán personalmente, o por edicto si el contribuyente, responsable, agente retenedor o declarante, no compareciere dentro del término de los diez (10) días siguientes, contados a partir del día siguiente de la fecha de introducción al correo del aviso de citación. En este evento también procede la notificación electrónica.</w:t>
      </w:r>
    </w:p>
    <w:p w14:paraId="045A3CE1" w14:textId="77777777" w:rsidR="00040448" w:rsidRPr="00F53530" w:rsidRDefault="00280B8A" w:rsidP="00C44821">
      <w:pPr>
        <w:spacing w:before="240" w:after="240" w:line="240" w:lineRule="auto"/>
        <w:jc w:val="both"/>
        <w:rPr>
          <w:rFonts w:ascii="Times New Roman" w:hAnsi="Times New Roman"/>
          <w:i/>
        </w:rPr>
      </w:pPr>
      <w:r w:rsidRPr="00033714">
        <w:rPr>
          <w:rFonts w:ascii="Times New Roman" w:hAnsi="Times New Roman"/>
          <w:b/>
          <w:bCs/>
          <w:i/>
        </w:rPr>
        <w:t>PARÁGRAFO 4.</w:t>
      </w:r>
      <w:r w:rsidRPr="00F53530">
        <w:rPr>
          <w:rFonts w:ascii="Times New Roman" w:hAnsi="Times New Roman"/>
          <w:i/>
        </w:rPr>
        <w:t xml:space="preserve"> </w:t>
      </w:r>
      <w:r w:rsidR="00040448" w:rsidRPr="00F53530">
        <w:rPr>
          <w:rFonts w:ascii="Times New Roman" w:hAnsi="Times New Roman"/>
          <w:i/>
        </w:rPr>
        <w:t>Todos los actos administrativos de que trata el presente artículo, incluidos los que se profieran en el proceso de cobro coactivo, se podrán notificar de manera electrónica, siempre y cuando el contribuyente, 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dirección de correo electrónico de su apoderado o sus apoderados, caso en el cual se enviará una copia del acto a dicha dirección de correo electrónico.</w:t>
      </w:r>
    </w:p>
    <w:p w14:paraId="045A3CE2" w14:textId="77777777" w:rsidR="00040448" w:rsidRDefault="00280B8A" w:rsidP="00C44821">
      <w:pPr>
        <w:spacing w:before="240" w:after="240" w:line="240" w:lineRule="auto"/>
        <w:jc w:val="both"/>
        <w:rPr>
          <w:rFonts w:ascii="Times New Roman" w:hAnsi="Times New Roman"/>
          <w:i/>
        </w:rPr>
      </w:pPr>
      <w:r w:rsidRPr="009A77AA">
        <w:rPr>
          <w:rFonts w:ascii="Times New Roman" w:hAnsi="Times New Roman"/>
          <w:b/>
          <w:bCs/>
          <w:i/>
        </w:rPr>
        <w:lastRenderedPageBreak/>
        <w:t>PARÁGRAFO 5.</w:t>
      </w:r>
      <w:r w:rsidRPr="00F53530">
        <w:rPr>
          <w:rFonts w:ascii="Times New Roman" w:hAnsi="Times New Roman"/>
          <w:i/>
        </w:rPr>
        <w:t xml:space="preserve"> </w:t>
      </w:r>
      <w:r w:rsidR="00040448" w:rsidRPr="00F53530">
        <w:rPr>
          <w:rFonts w:ascii="Times New Roman" w:hAnsi="Times New Roman"/>
          <w:i/>
        </w:rPr>
        <w:t>Lo dispuesto en este artículo aplica para la notificación de los actos administrativos expedidos por la Unidad de Gestión Pensional y Parafiscales (UGPP).</w:t>
      </w:r>
    </w:p>
    <w:p w14:paraId="045A3CE3" w14:textId="77777777" w:rsidR="00687C02" w:rsidRPr="00F53530" w:rsidRDefault="00687C02"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E4" w14:textId="77777777" w:rsidR="00040448" w:rsidRPr="00F53530" w:rsidRDefault="00040448" w:rsidP="00C44821">
      <w:pPr>
        <w:spacing w:before="240" w:after="240" w:line="240" w:lineRule="auto"/>
        <w:jc w:val="both"/>
        <w:rPr>
          <w:rFonts w:ascii="Times New Roman" w:hAnsi="Times New Roman"/>
        </w:rPr>
      </w:pPr>
      <w:r w:rsidRPr="00BC4C43">
        <w:rPr>
          <w:rFonts w:ascii="Times New Roman" w:hAnsi="Times New Roman"/>
          <w:b/>
          <w:bCs/>
        </w:rPr>
        <w:t>ARTÍCULO 105.</w:t>
      </w:r>
      <w:r w:rsidR="00BC4C43">
        <w:rPr>
          <w:rFonts w:ascii="Times New Roman" w:hAnsi="Times New Roman"/>
          <w:b/>
          <w:bCs/>
        </w:rPr>
        <w:t xml:space="preserve"> </w:t>
      </w:r>
      <w:r w:rsidRPr="00F53530">
        <w:rPr>
          <w:rFonts w:ascii="Times New Roman" w:hAnsi="Times New Roman"/>
        </w:rPr>
        <w:t xml:space="preserve">Modifíquese el artículo 566-1 del </w:t>
      </w:r>
      <w:r w:rsidR="00687C02">
        <w:rPr>
          <w:rFonts w:ascii="Times New Roman" w:hAnsi="Times New Roman"/>
        </w:rPr>
        <w:t>*</w:t>
      </w:r>
      <w:r w:rsidRPr="00F53530">
        <w:rPr>
          <w:rFonts w:ascii="Times New Roman" w:hAnsi="Times New Roman"/>
        </w:rPr>
        <w:t>Estatuto Tributario, el cual quedará así:</w:t>
      </w:r>
    </w:p>
    <w:p w14:paraId="045A3CE5" w14:textId="77777777" w:rsidR="00040448" w:rsidRPr="00F53530" w:rsidRDefault="00040448" w:rsidP="00C44821">
      <w:pPr>
        <w:spacing w:before="240" w:after="240" w:line="240" w:lineRule="auto"/>
        <w:jc w:val="both"/>
        <w:rPr>
          <w:rFonts w:ascii="Times New Roman" w:hAnsi="Times New Roman"/>
          <w:i/>
        </w:rPr>
      </w:pPr>
      <w:r w:rsidRPr="009A77AA">
        <w:rPr>
          <w:rFonts w:ascii="Times New Roman" w:hAnsi="Times New Roman"/>
          <w:b/>
          <w:bCs/>
          <w:i/>
        </w:rPr>
        <w:t>Artículo 566-1</w:t>
      </w:r>
      <w:r w:rsidR="00280B8A" w:rsidRPr="009A77AA">
        <w:rPr>
          <w:rFonts w:ascii="Times New Roman" w:hAnsi="Times New Roman"/>
          <w:b/>
          <w:bCs/>
          <w:i/>
        </w:rPr>
        <w:t>.</w:t>
      </w:r>
      <w:r w:rsidRPr="009A77AA">
        <w:rPr>
          <w:rFonts w:ascii="Times New Roman" w:hAnsi="Times New Roman"/>
          <w:b/>
          <w:bCs/>
          <w:i/>
        </w:rPr>
        <w:t xml:space="preserve"> Notificación electrónica.</w:t>
      </w:r>
      <w:r w:rsidRPr="00F53530">
        <w:rPr>
          <w:rFonts w:ascii="Times New Roman" w:hAnsi="Times New Roman"/>
          <w:i/>
        </w:rPr>
        <w:t xml:space="preserve"> Es la forma de notificación que se surte de manera electrónica a través de la cual la Dirección de Impuestos y Aduanas Nacionales (DIAN) pone en conocimiento de los administrados los actos administrativos de que trata el artículo 565 del </w:t>
      </w:r>
      <w:r w:rsidR="00687C02">
        <w:rPr>
          <w:rFonts w:ascii="Times New Roman" w:hAnsi="Times New Roman"/>
          <w:i/>
        </w:rPr>
        <w:t>*</w:t>
      </w:r>
      <w:r w:rsidRPr="00F53530">
        <w:rPr>
          <w:rFonts w:ascii="Times New Roman" w:hAnsi="Times New Roman"/>
          <w:i/>
        </w:rPr>
        <w:t>Estatuto Tributario, incluidos los que se profieran en el proceso de cobro.</w:t>
      </w:r>
    </w:p>
    <w:p w14:paraId="045A3CE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Una vez el contribuyente, responsable, agente retenedor o declarante informe la dirección electrónica a la Dirección de Impuestos y Aduanas Nacionales (DIAN) en los términos previstos en los artículos 563 y 565 del </w:t>
      </w:r>
      <w:r w:rsidR="00687C02">
        <w:rPr>
          <w:rFonts w:ascii="Times New Roman" w:hAnsi="Times New Roman"/>
          <w:i/>
        </w:rPr>
        <w:t>*</w:t>
      </w:r>
      <w:r w:rsidRPr="00F53530">
        <w:rPr>
          <w:rFonts w:ascii="Times New Roman" w:hAnsi="Times New Roman"/>
          <w:i/>
        </w:rPr>
        <w:t>Estatuto Tributario, todos los actos administrativos proferidos con posterioridad a ese momento, independientemente de la etapa administrativa en la que se encuentre el proceso, serán notificados a esa dirección hasta que se informe de manera expresa el cambio de dirección.</w:t>
      </w:r>
    </w:p>
    <w:p w14:paraId="045A3CE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notificación electrónica se entenderá surtida para todos los efectos legales, en la fecha del envío del acto administrativo en el correo electrónico autorizado; no obstante, los términos legales para el contribuyente, responsable, agente retenedor, declarante o su apoderado para responder o impugnar en sede administrativa, comenzarán a correr transcurridos cinco (5) días a partir de la entrega del correo electrónico.</w:t>
      </w:r>
    </w:p>
    <w:p w14:paraId="045A3CE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Cuando las personas indicadas anteriormente no puedan acceder al contenido del acto administrativo por razones tecnológicas, deberán informarlo a la Dirección de Impuestos y Aduanas Nacionales (DIAN) dentro de los tres (3) días siguientes a su entrega, para que la Dirección de Impuestos y Aduanas Nacionales (DIAN) envíe nuevamente y por una sola vez, el acto administrativo a través de correo electrónico; en todo caso, la notificación del acto administrativo se entiende surtida por la Administración en la fecha de envío del primer correo electrónico, sin perjuicio de que los términos para el administrado comiencen a correr transcurridos cinco (5) días a partir de la fecha en que el acto sea efectivamente entregado.</w:t>
      </w:r>
    </w:p>
    <w:p w14:paraId="045A3CE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Cuando no sea posible la notificación del acto administrativo en forma electrónica, bien sea por imposibilidad técnica atribuible a la Administración Tributaria o por causas atribuibles al contribuyente, esta se surtirá de conformidad con lo establecido en los artículos 565 y 568 del </w:t>
      </w:r>
      <w:r w:rsidR="00687C02">
        <w:rPr>
          <w:rFonts w:ascii="Times New Roman" w:hAnsi="Times New Roman"/>
          <w:i/>
        </w:rPr>
        <w:t>*</w:t>
      </w:r>
      <w:r w:rsidRPr="00F53530">
        <w:rPr>
          <w:rFonts w:ascii="Times New Roman" w:hAnsi="Times New Roman"/>
          <w:i/>
        </w:rPr>
        <w:t>Estatuto Tributario.</w:t>
      </w:r>
    </w:p>
    <w:p w14:paraId="045A3CE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Cuando los actos administrativos enviados por correo electrónico no puedan notificarse por causas atribuibles al contribuyente, responsable, agente retenedor, declarante o su apoderado, en la dirección electrónica autorizada, esta se surtirá de conformidad con lo establecido en los artículos 565 y 568 del </w:t>
      </w:r>
      <w:r w:rsidR="00687C02">
        <w:rPr>
          <w:rFonts w:ascii="Times New Roman" w:hAnsi="Times New Roman"/>
          <w:i/>
        </w:rPr>
        <w:t>*</w:t>
      </w:r>
      <w:r w:rsidRPr="00F53530">
        <w:rPr>
          <w:rFonts w:ascii="Times New Roman" w:hAnsi="Times New Roman"/>
          <w:i/>
        </w:rPr>
        <w:t>Estatuto Tributario. En este caso, la notificación se entenderá surtida para efectos de los términos de la Dirección de Impuestos y Aduanas Nacionales (DIAN), en la fecha del primer envío del acto administrativo al correo electrónico autorizado y para el contribuyente, responsable, agente retenedor, declarante o su apoderado, el término legal para responder o impugnar, empezará a contarse a partir de la fecha en que el acto sea efectivamente notificado.</w:t>
      </w:r>
    </w:p>
    <w:p w14:paraId="045A3CEB" w14:textId="77777777" w:rsidR="00040448" w:rsidRDefault="00280B8A" w:rsidP="00C44821">
      <w:pPr>
        <w:spacing w:before="240" w:after="240" w:line="240" w:lineRule="auto"/>
        <w:jc w:val="both"/>
        <w:rPr>
          <w:rFonts w:ascii="Times New Roman" w:hAnsi="Times New Roman"/>
          <w:i/>
        </w:rPr>
      </w:pPr>
      <w:r w:rsidRPr="00F53530">
        <w:rPr>
          <w:rFonts w:ascii="Times New Roman" w:hAnsi="Times New Roman"/>
          <w:i/>
        </w:rPr>
        <w:lastRenderedPageBreak/>
        <w:t xml:space="preserve">PARÁGRAFO. </w:t>
      </w:r>
      <w:r w:rsidR="00040448" w:rsidRPr="00F53530">
        <w:rPr>
          <w:rFonts w:ascii="Times New Roman" w:hAnsi="Times New Roman"/>
          <w:i/>
        </w:rPr>
        <w:t>Lo dispuesto en el presente artículo aplica para la notificación de los actos administrativos expedidos por la Unidad de Gestión Pensional y Parafiscales (UGPP).</w:t>
      </w:r>
    </w:p>
    <w:p w14:paraId="045A3CEC" w14:textId="77777777" w:rsidR="00687C02" w:rsidRPr="00F53530" w:rsidRDefault="00687C02"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ED" w14:textId="77777777" w:rsidR="00040448" w:rsidRPr="00F53530" w:rsidRDefault="00040448" w:rsidP="00C44821">
      <w:pPr>
        <w:spacing w:before="240" w:after="240" w:line="240" w:lineRule="auto"/>
        <w:jc w:val="both"/>
        <w:rPr>
          <w:rFonts w:ascii="Times New Roman" w:hAnsi="Times New Roman"/>
        </w:rPr>
      </w:pPr>
      <w:r w:rsidRPr="00BC4C43">
        <w:rPr>
          <w:rFonts w:ascii="Times New Roman" w:hAnsi="Times New Roman"/>
          <w:b/>
          <w:bCs/>
        </w:rPr>
        <w:t>ARTÍCULO 106.</w:t>
      </w:r>
      <w:r w:rsidR="00BC4C43">
        <w:rPr>
          <w:rFonts w:ascii="Times New Roman" w:hAnsi="Times New Roman"/>
          <w:b/>
          <w:bCs/>
        </w:rPr>
        <w:t xml:space="preserve"> </w:t>
      </w:r>
      <w:r w:rsidRPr="00F53530">
        <w:rPr>
          <w:rFonts w:ascii="Times New Roman" w:hAnsi="Times New Roman"/>
        </w:rPr>
        <w:t xml:space="preserve">Adiciónese el artículo 574-1 al </w:t>
      </w:r>
      <w:r w:rsidR="00020BB3">
        <w:rPr>
          <w:rFonts w:ascii="Times New Roman" w:hAnsi="Times New Roman"/>
        </w:rPr>
        <w:t>*</w:t>
      </w:r>
      <w:r w:rsidRPr="00F53530">
        <w:rPr>
          <w:rFonts w:ascii="Times New Roman" w:hAnsi="Times New Roman"/>
        </w:rPr>
        <w:t>Estatuto Tributario, el cual quedará así:</w:t>
      </w:r>
    </w:p>
    <w:p w14:paraId="045A3CEE" w14:textId="77777777" w:rsidR="00040448" w:rsidRDefault="00040448" w:rsidP="00C44821">
      <w:pPr>
        <w:spacing w:before="240" w:after="240" w:line="240" w:lineRule="auto"/>
        <w:jc w:val="both"/>
        <w:rPr>
          <w:rFonts w:ascii="Times New Roman" w:hAnsi="Times New Roman"/>
          <w:i/>
        </w:rPr>
      </w:pPr>
      <w:r w:rsidRPr="009A77AA">
        <w:rPr>
          <w:rFonts w:ascii="Times New Roman" w:hAnsi="Times New Roman"/>
          <w:b/>
          <w:bCs/>
          <w:i/>
        </w:rPr>
        <w:t>Artículo 574-1</w:t>
      </w:r>
      <w:r w:rsidR="00280B8A" w:rsidRPr="009A77AA">
        <w:rPr>
          <w:rFonts w:ascii="Times New Roman" w:hAnsi="Times New Roman"/>
          <w:b/>
          <w:bCs/>
          <w:i/>
        </w:rPr>
        <w:t>.</w:t>
      </w:r>
      <w:r w:rsidRPr="009A77AA">
        <w:rPr>
          <w:rFonts w:ascii="Times New Roman" w:hAnsi="Times New Roman"/>
          <w:b/>
          <w:bCs/>
          <w:i/>
        </w:rPr>
        <w:t xml:space="preserve"> Anexo de otras deducciones a la declaración del impuesto sobre la renta y complementarios.</w:t>
      </w:r>
      <w:r w:rsidRPr="00F53530">
        <w:rPr>
          <w:rFonts w:ascii="Times New Roman" w:hAnsi="Times New Roman"/>
          <w:i/>
        </w:rPr>
        <w:t xml:space="preserve"> Los contribuyentes declarantes del impuesto sobre la renta y complementarios, obligados a llevar contabilidad, deberán diligenciar el formulario diseñado por la Administración Tributaria, el cual deberá ser firmado por contador o revisor fiscal, en el que deberán relacionar y detallar el renglón de otras deducciones del formulario de declaración del impuesto sobre la renta y complementarios. La Dirección de Impuestos y Aduanas Nacionales (DIAN) determinará mediante resolución el formulario establecido en este artículo.</w:t>
      </w:r>
    </w:p>
    <w:p w14:paraId="045A3CEF" w14:textId="77777777" w:rsidR="00615D93" w:rsidRPr="00F53530" w:rsidRDefault="00615D93"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F0" w14:textId="77777777" w:rsidR="00040448" w:rsidRPr="00F53530" w:rsidRDefault="00040448" w:rsidP="00C44821">
      <w:pPr>
        <w:spacing w:before="240" w:after="240" w:line="240" w:lineRule="auto"/>
        <w:jc w:val="both"/>
        <w:rPr>
          <w:rFonts w:ascii="Times New Roman" w:hAnsi="Times New Roman"/>
        </w:rPr>
      </w:pPr>
      <w:r w:rsidRPr="00531D06">
        <w:rPr>
          <w:rFonts w:ascii="Times New Roman" w:hAnsi="Times New Roman"/>
          <w:b/>
          <w:bCs/>
        </w:rPr>
        <w:t>ARTÍCULO 107.</w:t>
      </w:r>
      <w:r w:rsidR="00531D06">
        <w:rPr>
          <w:rFonts w:ascii="Times New Roman" w:hAnsi="Times New Roman"/>
          <w:b/>
          <w:bCs/>
        </w:rPr>
        <w:t xml:space="preserve"> </w:t>
      </w:r>
      <w:r w:rsidRPr="00F53530">
        <w:rPr>
          <w:rFonts w:ascii="Times New Roman" w:hAnsi="Times New Roman"/>
        </w:rPr>
        <w:t xml:space="preserve">Modifíquese el inciso primero del artículo 588 del </w:t>
      </w:r>
      <w:r w:rsidR="00615D93">
        <w:rPr>
          <w:rFonts w:ascii="Times New Roman" w:hAnsi="Times New Roman"/>
        </w:rPr>
        <w:t>*</w:t>
      </w:r>
      <w:r w:rsidRPr="00F53530">
        <w:rPr>
          <w:rFonts w:ascii="Times New Roman" w:hAnsi="Times New Roman"/>
        </w:rPr>
        <w:t>Estatuto Tributario, el cual quedará así:</w:t>
      </w:r>
    </w:p>
    <w:p w14:paraId="045A3CF1"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Sin perjuicio de lo dispuesto en los artículos 709 y 713 del </w:t>
      </w:r>
      <w:r w:rsidR="00615D93">
        <w:rPr>
          <w:rFonts w:ascii="Times New Roman" w:hAnsi="Times New Roman"/>
          <w:i/>
        </w:rPr>
        <w:t>*</w:t>
      </w:r>
      <w:r w:rsidRPr="00F53530">
        <w:rPr>
          <w:rFonts w:ascii="Times New Roman" w:hAnsi="Times New Roman"/>
          <w:i/>
        </w:rPr>
        <w:t>Estatuto Tributario, los contribuyentes, responsables o agentes retenedores, podrán corregir sus declaraciones tributarias dentro de los tres (3) años siguientes al vencimiento del plazo para declarar y antes de que se les haya notificado requerimiento especial o pliego de cargos, en relación con la declaración tributaria que se corrige, y se liquide la correspondiente sanción por corrección.</w:t>
      </w:r>
    </w:p>
    <w:p w14:paraId="045A3CF2" w14:textId="77777777" w:rsidR="00615D93" w:rsidRPr="00F53530" w:rsidRDefault="00615D93"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F3" w14:textId="77777777" w:rsidR="00040448" w:rsidRPr="00F53530" w:rsidRDefault="00040448" w:rsidP="00C44821">
      <w:pPr>
        <w:spacing w:before="240" w:after="240" w:line="240" w:lineRule="auto"/>
        <w:jc w:val="both"/>
        <w:rPr>
          <w:rFonts w:ascii="Times New Roman" w:hAnsi="Times New Roman"/>
        </w:rPr>
      </w:pPr>
      <w:r w:rsidRPr="00531D06">
        <w:rPr>
          <w:rFonts w:ascii="Times New Roman" w:hAnsi="Times New Roman"/>
          <w:b/>
          <w:bCs/>
        </w:rPr>
        <w:t>ARTÍCULO 108.</w:t>
      </w:r>
      <w:r w:rsidR="00531D06">
        <w:rPr>
          <w:rFonts w:ascii="Times New Roman" w:hAnsi="Times New Roman"/>
          <w:b/>
          <w:bCs/>
        </w:rPr>
        <w:t xml:space="preserve"> </w:t>
      </w:r>
      <w:r w:rsidRPr="00F53530">
        <w:rPr>
          <w:rFonts w:ascii="Times New Roman" w:hAnsi="Times New Roman"/>
        </w:rPr>
        <w:t xml:space="preserve">Adiciónese un parágrafo transitorio al artículo 590 del </w:t>
      </w:r>
      <w:r w:rsidR="00615D93">
        <w:rPr>
          <w:rFonts w:ascii="Times New Roman" w:hAnsi="Times New Roman"/>
        </w:rPr>
        <w:t>*</w:t>
      </w:r>
      <w:r w:rsidRPr="00F53530">
        <w:rPr>
          <w:rFonts w:ascii="Times New Roman" w:hAnsi="Times New Roman"/>
        </w:rPr>
        <w:t>Estatuto Tributario, el cual quedará así:</w:t>
      </w:r>
    </w:p>
    <w:p w14:paraId="045A3CF4" w14:textId="617BCC17" w:rsidR="00040448"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TRANSITORIO.</w:t>
      </w:r>
      <w:r w:rsidR="00A03C6F" w:rsidRPr="00F53530">
        <w:rPr>
          <w:rFonts w:ascii="Times New Roman" w:hAnsi="Times New Roman"/>
          <w:i/>
        </w:rPr>
        <w:t xml:space="preserve"> </w:t>
      </w:r>
      <w:r w:rsidR="00040448" w:rsidRPr="00F53530">
        <w:rPr>
          <w:rFonts w:ascii="Times New Roman" w:hAnsi="Times New Roman"/>
          <w:i/>
        </w:rPr>
        <w:t xml:space="preserve">El parágrafo anterior aplicará para los procedimientos adelantados por la DIAN que se encuentren en trámite a la entrada en vigencia de la </w:t>
      </w:r>
      <w:hyperlink r:id="rId101" w:history="1">
        <w:r w:rsidR="00040448" w:rsidRPr="00FB68BE">
          <w:rPr>
            <w:rStyle w:val="Hipervnculo"/>
            <w:rFonts w:ascii="Times New Roman" w:hAnsi="Times New Roman"/>
            <w:i/>
          </w:rPr>
          <w:t>Ley 1943 de 2018</w:t>
        </w:r>
      </w:hyperlink>
      <w:r w:rsidR="00040448" w:rsidRPr="00F53530">
        <w:rPr>
          <w:rFonts w:ascii="Times New Roman" w:hAnsi="Times New Roman"/>
          <w:i/>
        </w:rPr>
        <w:t xml:space="preserve"> y, respecto de los procedimientos que se adelanten con posterioridad a la entrada en vigencia de la misma.</w:t>
      </w:r>
    </w:p>
    <w:p w14:paraId="045A3CF5" w14:textId="77777777" w:rsidR="00615D93" w:rsidRPr="00F53530" w:rsidRDefault="00615D93"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F6" w14:textId="77777777" w:rsidR="00040448" w:rsidRPr="00F53530" w:rsidRDefault="00040448" w:rsidP="00C44821">
      <w:pPr>
        <w:spacing w:before="240" w:after="240" w:line="240" w:lineRule="auto"/>
        <w:jc w:val="both"/>
        <w:rPr>
          <w:rFonts w:ascii="Times New Roman" w:hAnsi="Times New Roman"/>
        </w:rPr>
      </w:pPr>
      <w:r w:rsidRPr="00531D06">
        <w:rPr>
          <w:rFonts w:ascii="Times New Roman" w:hAnsi="Times New Roman"/>
          <w:b/>
          <w:bCs/>
        </w:rPr>
        <w:t>ARTÍCULO 109.</w:t>
      </w:r>
      <w:r w:rsidR="00531D06">
        <w:rPr>
          <w:rFonts w:ascii="Times New Roman" w:hAnsi="Times New Roman"/>
          <w:b/>
          <w:bCs/>
        </w:rPr>
        <w:t xml:space="preserve"> </w:t>
      </w:r>
      <w:r w:rsidRPr="00F53530">
        <w:rPr>
          <w:rFonts w:ascii="Times New Roman" w:hAnsi="Times New Roman"/>
        </w:rPr>
        <w:t xml:space="preserve">Adiciónese un parágrafo al artículo 607 del </w:t>
      </w:r>
      <w:r w:rsidR="00615D93">
        <w:rPr>
          <w:rFonts w:ascii="Times New Roman" w:hAnsi="Times New Roman"/>
        </w:rPr>
        <w:t>*</w:t>
      </w:r>
      <w:r w:rsidRPr="00F53530">
        <w:rPr>
          <w:rFonts w:ascii="Times New Roman" w:hAnsi="Times New Roman"/>
        </w:rPr>
        <w:t>Estatuto Tributario, el cual quedará así:</w:t>
      </w:r>
    </w:p>
    <w:p w14:paraId="045A3CF7" w14:textId="77777777" w:rsidR="00040448"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w:t>
      </w:r>
      <w:r w:rsidR="00A03C6F" w:rsidRPr="00F53530">
        <w:rPr>
          <w:rFonts w:ascii="Times New Roman" w:hAnsi="Times New Roman"/>
          <w:i/>
        </w:rPr>
        <w:t xml:space="preserve"> </w:t>
      </w:r>
      <w:r w:rsidR="00040448" w:rsidRPr="00F53530">
        <w:rPr>
          <w:rFonts w:ascii="Times New Roman" w:hAnsi="Times New Roman"/>
          <w:i/>
        </w:rPr>
        <w:t>La obligación de presentar declaración de activos en el exterior solamente será aplicable cuando el valor patrimonial de los activos del exterior poseídos a 1 de enero de cada año sea superior a dos mil (2.000) UVT.</w:t>
      </w:r>
    </w:p>
    <w:p w14:paraId="045A3CF8" w14:textId="77777777" w:rsidR="00615D93" w:rsidRPr="00F53530" w:rsidRDefault="00615D93" w:rsidP="00C44821">
      <w:pPr>
        <w:spacing w:before="240" w:after="240" w:line="240" w:lineRule="auto"/>
        <w:jc w:val="both"/>
        <w:rPr>
          <w:rFonts w:ascii="Times New Roman" w:hAnsi="Times New Roman"/>
          <w:i/>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F9" w14:textId="77777777" w:rsidR="00040448" w:rsidRPr="00F53530" w:rsidRDefault="00040448" w:rsidP="00C44821">
      <w:pPr>
        <w:spacing w:before="240" w:after="240" w:line="240" w:lineRule="auto"/>
        <w:jc w:val="both"/>
        <w:rPr>
          <w:rFonts w:ascii="Times New Roman" w:hAnsi="Times New Roman"/>
        </w:rPr>
      </w:pPr>
      <w:r w:rsidRPr="00531D06">
        <w:rPr>
          <w:rFonts w:ascii="Times New Roman" w:hAnsi="Times New Roman"/>
          <w:b/>
          <w:bCs/>
        </w:rPr>
        <w:t>ARTÍCULO 110.</w:t>
      </w:r>
      <w:r w:rsidR="00531D06">
        <w:rPr>
          <w:rFonts w:ascii="Times New Roman" w:hAnsi="Times New Roman"/>
          <w:b/>
          <w:bCs/>
        </w:rPr>
        <w:t xml:space="preserve"> </w:t>
      </w:r>
      <w:r w:rsidRPr="00F53530">
        <w:rPr>
          <w:rFonts w:ascii="Times New Roman" w:hAnsi="Times New Roman"/>
        </w:rPr>
        <w:t xml:space="preserve">Modifíquese el parágrafo 1 y adiciónese un parágrafo transitorio al artículo 641 del </w:t>
      </w:r>
      <w:r w:rsidR="00615D93">
        <w:rPr>
          <w:rFonts w:ascii="Times New Roman" w:hAnsi="Times New Roman"/>
        </w:rPr>
        <w:t>*</w:t>
      </w:r>
      <w:r w:rsidRPr="00F53530">
        <w:rPr>
          <w:rFonts w:ascii="Times New Roman" w:hAnsi="Times New Roman"/>
        </w:rPr>
        <w:t>Estatuto Tributario, los cuales quedarán así:</w:t>
      </w:r>
    </w:p>
    <w:p w14:paraId="045A3CFA"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Cuando la declaración anual de activos en el exterior se presente de manera extemporánea, la sanción por cada mes o fracción de mes calendario de retardo será equivalente al cero punto cinco por ciento (0.5%) del valor de los activos poseídos en el exterior, si la misma se presenta antes del emplazamiento previo por no declarar, o al uno por ciento (1%) del valor de los activos poseídos en el exterior si se presenta con posterioridad al citado emplazamiento y antes de que se profiera la respectiva resolución sanción por no declarar. En todo caso, el monto de la sanción no podrá superar el diez por ciento (10%) del valor de los activos poseídos en el exterior.</w:t>
      </w:r>
    </w:p>
    <w:p w14:paraId="045A3CFB"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TRANSITORIO.</w:t>
      </w:r>
      <w:r w:rsidRPr="00F53530">
        <w:rPr>
          <w:rFonts w:ascii="Times New Roman" w:hAnsi="Times New Roman"/>
          <w:i/>
        </w:rPr>
        <w:t xml:space="preserve"> </w:t>
      </w:r>
      <w:r w:rsidR="00040448" w:rsidRPr="00F53530">
        <w:rPr>
          <w:rFonts w:ascii="Times New Roman" w:hAnsi="Times New Roman"/>
          <w:i/>
        </w:rPr>
        <w:t>Cuando la declaración de activos en el exterior de los años 2019 y anteriores se presente de manera extemporánea, la sanción por cada mes o fracción de mes calendario de retardo será equivalente al cero punto uno por ciento (0.1%) del valor de los activos poseídos en el exterior si la misma se presenta antes del emplazamiento previo por no declarar, o al cero punto dos por ciento (0,2%) del valor de los activos poseídos en el exterior si se presenta con posterioridad al citado emplazamiento y antes de que se profiera la respectiva resolución sanción por no declarar. En todo caso, el monto de la sanción no podrá superar el dos por ciento (2%) del valor de los activos poseídos en el exterior.</w:t>
      </w:r>
    </w:p>
    <w:p w14:paraId="045A3CFC"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El tratamiento consagrado en el presente parágrafo transitorio será aplicable, siempre y cuando el contribuyente presente la declaración de activos en el exterior de los años 2019 y anteriores, y liquide y pague la sanción por extemporaneidad a más tardar el 30 de abril de 2020.</w:t>
      </w:r>
    </w:p>
    <w:p w14:paraId="045A3CFD" w14:textId="77777777" w:rsidR="00EF34FF" w:rsidRPr="00F53530" w:rsidRDefault="00EF34FF"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CFE" w14:textId="77777777" w:rsidR="00040448" w:rsidRPr="00F53530" w:rsidRDefault="00040448" w:rsidP="00C44821">
      <w:pPr>
        <w:spacing w:before="240" w:after="240" w:line="240" w:lineRule="auto"/>
        <w:jc w:val="both"/>
        <w:rPr>
          <w:rFonts w:ascii="Times New Roman" w:hAnsi="Times New Roman"/>
        </w:rPr>
      </w:pPr>
      <w:r w:rsidRPr="00F771B8">
        <w:rPr>
          <w:rFonts w:ascii="Times New Roman" w:hAnsi="Times New Roman"/>
          <w:b/>
          <w:bCs/>
        </w:rPr>
        <w:t>ARTÍCULO 111.</w:t>
      </w:r>
      <w:r w:rsidR="00F771B8">
        <w:rPr>
          <w:rFonts w:ascii="Times New Roman" w:hAnsi="Times New Roman"/>
          <w:b/>
          <w:bCs/>
        </w:rPr>
        <w:t xml:space="preserve"> </w:t>
      </w:r>
      <w:r w:rsidRPr="00F53530">
        <w:rPr>
          <w:rFonts w:ascii="Times New Roman" w:hAnsi="Times New Roman"/>
        </w:rPr>
        <w:t xml:space="preserve">Modificar el inciso primero, el parágrafo 6 y adicionar el numeral 5 al artículo 657 del </w:t>
      </w:r>
      <w:r w:rsidR="00EF34FF">
        <w:rPr>
          <w:rFonts w:ascii="Times New Roman" w:hAnsi="Times New Roman"/>
        </w:rPr>
        <w:t>*</w:t>
      </w:r>
      <w:r w:rsidRPr="00F53530">
        <w:rPr>
          <w:rFonts w:ascii="Times New Roman" w:hAnsi="Times New Roman"/>
        </w:rPr>
        <w:t>Estatuto Tributario, los cuales quedarán así:</w:t>
      </w:r>
    </w:p>
    <w:p w14:paraId="045A3CF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Administración Tributaria podrá imponer la sanción de clausura o cierre del establecimiento de comercio, oficina, consultorio y, en general, del sitio donde se ejerza la actividad, profesión u oficio, mediante la imposición de sellos oficiales que contendrán la leyenda CERRADO POR LA DIAN en los siguientes casos:</w:t>
      </w:r>
    </w:p>
    <w:p w14:paraId="045A3D0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5. Por un término de tres (3) días, cuando se establezca la no adopción o el incumplimiento de sistemas técnicos de control.</w:t>
      </w:r>
    </w:p>
    <w:p w14:paraId="045A3D01"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6.</w:t>
      </w:r>
      <w:r w:rsidRPr="00F53530">
        <w:rPr>
          <w:rFonts w:ascii="Times New Roman" w:hAnsi="Times New Roman"/>
          <w:i/>
        </w:rPr>
        <w:t xml:space="preserve"> </w:t>
      </w:r>
      <w:r w:rsidR="00040448" w:rsidRPr="00F53530">
        <w:rPr>
          <w:rFonts w:ascii="Times New Roman" w:hAnsi="Times New Roman"/>
          <w:i/>
        </w:rPr>
        <w:t>En todos los casos, si el contribuyente objeto de esta sanción se acoge y paga la siguiente multa, la Administración Tributaria se abstendrá de decretar la clausura del establecimiento, así:</w:t>
      </w:r>
    </w:p>
    <w:p w14:paraId="045A3D0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efectos de lo dispuesto en el numeral 1, una sanción pecuniaria equivalente al cinco por ciento (5%) de los ingresos operacionales obtenidos en el mes anterior a la fecha en que incurrió en el hecho sancionable.</w:t>
      </w:r>
    </w:p>
    <w:p w14:paraId="045A3D0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Para efectos de lo dispuesto en el numeral 2, una sanción pecuniaria equivalente al diez (10%) de los ingresos operacionales obtenidos en el mes anterior a la fecha en que incurrió en el hecho sancionable.</w:t>
      </w:r>
    </w:p>
    <w:p w14:paraId="045A3D0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efectos de lo dispuesto en los numerales 3 y 4, una sanción pecuniaria equivalente al quince por ciento (15%) de los ingresos operacionales obtenidos en el mes anterior a la fecha en que incurrió en el hecho sancionable.</w:t>
      </w:r>
    </w:p>
    <w:p w14:paraId="045A3D05"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Para efectos de lo dispuesto en el numeral 5, una sanción pecuniaria equivalente al diez por ciento (10%) de los ingresos operacionales obtenidos en el mes anterior a la fecha en que incurrió en el hecho sancionable.</w:t>
      </w:r>
    </w:p>
    <w:p w14:paraId="045A3D06" w14:textId="77777777" w:rsidR="00886741" w:rsidRPr="00F53530" w:rsidRDefault="00886741"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D07" w14:textId="77777777" w:rsidR="00040448" w:rsidRPr="00F53530" w:rsidRDefault="00040448" w:rsidP="00C44821">
      <w:pPr>
        <w:spacing w:before="240" w:after="240" w:line="240" w:lineRule="auto"/>
        <w:jc w:val="both"/>
        <w:rPr>
          <w:rFonts w:ascii="Times New Roman" w:hAnsi="Times New Roman"/>
        </w:rPr>
      </w:pPr>
      <w:r w:rsidRPr="00F771B8">
        <w:rPr>
          <w:rFonts w:ascii="Times New Roman" w:hAnsi="Times New Roman"/>
          <w:b/>
          <w:bCs/>
        </w:rPr>
        <w:t>ARTÍCULO 112.</w:t>
      </w:r>
      <w:r w:rsidR="00F771B8">
        <w:rPr>
          <w:rFonts w:ascii="Times New Roman" w:hAnsi="Times New Roman"/>
          <w:b/>
          <w:bCs/>
        </w:rPr>
        <w:t xml:space="preserve"> </w:t>
      </w:r>
      <w:r w:rsidRPr="00F53530">
        <w:rPr>
          <w:rFonts w:ascii="Times New Roman" w:hAnsi="Times New Roman"/>
        </w:rPr>
        <w:t xml:space="preserve">Modifíquese el artículo 684-4 del </w:t>
      </w:r>
      <w:r w:rsidR="00886741">
        <w:rPr>
          <w:rFonts w:ascii="Times New Roman" w:hAnsi="Times New Roman"/>
        </w:rPr>
        <w:t>*</w:t>
      </w:r>
      <w:r w:rsidRPr="00F53530">
        <w:rPr>
          <w:rFonts w:ascii="Times New Roman" w:hAnsi="Times New Roman"/>
        </w:rPr>
        <w:t>Estatuto Tributario, el cual quedará así:</w:t>
      </w:r>
    </w:p>
    <w:p w14:paraId="045A3D08" w14:textId="77777777" w:rsidR="00040448" w:rsidRPr="00F53530" w:rsidRDefault="00040448" w:rsidP="00C44821">
      <w:pPr>
        <w:spacing w:before="240" w:after="240" w:line="240" w:lineRule="auto"/>
        <w:jc w:val="both"/>
        <w:rPr>
          <w:rFonts w:ascii="Times New Roman" w:hAnsi="Times New Roman"/>
          <w:i/>
        </w:rPr>
      </w:pPr>
      <w:r w:rsidRPr="009A77AA">
        <w:rPr>
          <w:rFonts w:ascii="Times New Roman" w:hAnsi="Times New Roman"/>
          <w:b/>
          <w:bCs/>
          <w:i/>
        </w:rPr>
        <w:t>Artículo 684-4</w:t>
      </w:r>
      <w:r w:rsidR="00280B8A" w:rsidRPr="009A77AA">
        <w:rPr>
          <w:rFonts w:ascii="Times New Roman" w:hAnsi="Times New Roman"/>
          <w:b/>
          <w:bCs/>
          <w:i/>
        </w:rPr>
        <w:t>.</w:t>
      </w:r>
      <w:r w:rsidRPr="009A77AA">
        <w:rPr>
          <w:rFonts w:ascii="Times New Roman" w:hAnsi="Times New Roman"/>
          <w:b/>
          <w:bCs/>
          <w:i/>
        </w:rPr>
        <w:t xml:space="preserve"> Sanciones aplicables a los proveedores autorizados y tecnológicos.</w:t>
      </w:r>
      <w:r w:rsidRPr="00F53530">
        <w:rPr>
          <w:rFonts w:ascii="Times New Roman" w:hAnsi="Times New Roman"/>
          <w:i/>
        </w:rPr>
        <w:t xml:space="preserve"> El proveedor autorizado y/o el proveedor tecnológico será sancionado con la imposibilidad de contratar con nuevos clientes para prestar sus servicios, con el objetivo de cumplir alguna o varias de las funciones establecidas en el numeral 1 del artículo 616-4 del </w:t>
      </w:r>
      <w:r w:rsidR="00886741">
        <w:rPr>
          <w:rFonts w:ascii="Times New Roman" w:hAnsi="Times New Roman"/>
          <w:i/>
        </w:rPr>
        <w:t>*</w:t>
      </w:r>
      <w:r w:rsidRPr="00F53530">
        <w:rPr>
          <w:rFonts w:ascii="Times New Roman" w:hAnsi="Times New Roman"/>
          <w:i/>
        </w:rPr>
        <w:t>Estatuto Tributario, cuando incurra en alguna de las infracciones previstas en el numeral segundo de ese mismo artículo, de forma reiterada. Dicha imposibilidad tendrá una duración de un (1) año contado desde el día en el que cobre firmeza el acto por medio del cual se impuso esa sanción al proveedor tecnológico y/o el proveedor autorizado. Si es reincidente, la imposibilidad tendrá una duración de dos (2) años.</w:t>
      </w:r>
    </w:p>
    <w:p w14:paraId="045A3D0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En caso de que la reincidencia se presente por tercera vez, de acuerdo con el artículo 640 del </w:t>
      </w:r>
      <w:r w:rsidR="00886741">
        <w:rPr>
          <w:rFonts w:ascii="Times New Roman" w:hAnsi="Times New Roman"/>
          <w:i/>
        </w:rPr>
        <w:t>*</w:t>
      </w:r>
      <w:r w:rsidRPr="00F53530">
        <w:rPr>
          <w:rFonts w:ascii="Times New Roman" w:hAnsi="Times New Roman"/>
          <w:i/>
        </w:rPr>
        <w:t>Estatuto Tributario, por incurrir en la misma infracción que generó la sanción u otra de las establecidas en el mismo numeral, el proveedor tecnológico y/o el proveedor autorizado será sancionado con la cancelación de la habilitación y sólo podrá ejercer como proveedor tecnológico y/o proveedor autorizado, trascurrido un (1) año de haber sido cancelada su habilitación, para lo cual deberá surtir nuevamente el procedimiento previsto para ello.</w:t>
      </w:r>
    </w:p>
    <w:p w14:paraId="045A3D0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Las sanciones previstas en este artículo se impondrán aplicando el procedimiento establecido en la oportunidad establecida en el artículo 638 del </w:t>
      </w:r>
      <w:r w:rsidR="00886741">
        <w:rPr>
          <w:rFonts w:ascii="Times New Roman" w:hAnsi="Times New Roman"/>
          <w:i/>
        </w:rPr>
        <w:t>*</w:t>
      </w:r>
      <w:r w:rsidRPr="00F53530">
        <w:rPr>
          <w:rFonts w:ascii="Times New Roman" w:hAnsi="Times New Roman"/>
          <w:i/>
        </w:rPr>
        <w:t>Estatuto Tributario. El investigado dispondrá de un mes contado a partir de la notificación del pliego de cargos para dar respuesta, presentar los descargos y solicitar las pruebas que considere pertinentes.</w:t>
      </w:r>
    </w:p>
    <w:p w14:paraId="045A3D0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caso de que el proveedor tecnológico y/o el proveedor autorizado no acate de forma inmediata y voluntaria la sanción propuesta en los párrafos anteriores, la Dirección de Impuestos y Aduanas Nacionales podrá imponer una sanción de cierre de establecimiento por un término de hasta treinta (30) días calendario y/o una sanción pecuniaria equivalente hasta del uno por ciento (1%) del valor de las facturas respecto a las cuales se verificó el incumplimiento.</w:t>
      </w:r>
    </w:p>
    <w:p w14:paraId="045A3D0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Para efectos de este artículo, se entiende que existe un daño o perjuicio a la Administración Tributaria por el hecho del incumplimiento del proveedor tecnológico y/o del proveedor autorizado, considerando la sensibilidad del tema frente a la guerra del contrabando, el lavado de activos y la evasión.</w:t>
      </w:r>
    </w:p>
    <w:p w14:paraId="045A3D0D" w14:textId="77777777" w:rsidR="00040448" w:rsidRDefault="00280B8A" w:rsidP="00C44821">
      <w:pPr>
        <w:spacing w:before="240" w:after="240" w:line="240" w:lineRule="auto"/>
        <w:jc w:val="both"/>
        <w:rPr>
          <w:rFonts w:ascii="Times New Roman" w:hAnsi="Times New Roman"/>
          <w:i/>
        </w:rPr>
      </w:pPr>
      <w:r w:rsidRPr="009A77AA">
        <w:rPr>
          <w:rFonts w:ascii="Times New Roman" w:hAnsi="Times New Roman"/>
          <w:b/>
          <w:bCs/>
          <w:i/>
        </w:rPr>
        <w:lastRenderedPageBreak/>
        <w:t>PARÁGRAFO.</w:t>
      </w:r>
      <w:r w:rsidRPr="00F53530">
        <w:rPr>
          <w:rFonts w:ascii="Times New Roman" w:hAnsi="Times New Roman"/>
          <w:i/>
        </w:rPr>
        <w:t xml:space="preserve"> </w:t>
      </w:r>
      <w:r w:rsidR="00040448" w:rsidRPr="00F53530">
        <w:rPr>
          <w:rFonts w:ascii="Times New Roman" w:hAnsi="Times New Roman"/>
          <w:i/>
        </w:rPr>
        <w:t>La sanción de imposibilidad de contratar con nuevos clientes, establecida en el inciso primero de este artículo, no conlleva la prohibición de seguir prestando el servicio a los clientes con los cuales haya suscrito un contrato, si la suscripción del mismo es anterior al acto que impone la respectiva sanción.</w:t>
      </w:r>
    </w:p>
    <w:p w14:paraId="045A3D0E" w14:textId="77777777" w:rsidR="00886741" w:rsidRPr="00F53530" w:rsidRDefault="00886741"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D0F" w14:textId="77777777" w:rsidR="00040448" w:rsidRPr="00F53530" w:rsidRDefault="00040448" w:rsidP="00C44821">
      <w:pPr>
        <w:spacing w:before="240" w:after="240" w:line="240" w:lineRule="auto"/>
        <w:jc w:val="both"/>
        <w:rPr>
          <w:rFonts w:ascii="Times New Roman" w:hAnsi="Times New Roman"/>
          <w:i/>
        </w:rPr>
      </w:pPr>
      <w:r w:rsidRPr="00F771B8">
        <w:rPr>
          <w:rFonts w:ascii="Times New Roman" w:hAnsi="Times New Roman"/>
          <w:b/>
          <w:bCs/>
        </w:rPr>
        <w:t>ARTÍCULO 113.</w:t>
      </w:r>
      <w:r w:rsidR="00F771B8">
        <w:rPr>
          <w:rFonts w:ascii="Times New Roman" w:hAnsi="Times New Roman"/>
          <w:b/>
          <w:bCs/>
        </w:rPr>
        <w:t xml:space="preserve"> </w:t>
      </w:r>
      <w:r w:rsidRPr="00F53530">
        <w:rPr>
          <w:rFonts w:ascii="Times New Roman" w:hAnsi="Times New Roman"/>
          <w:i/>
        </w:rPr>
        <w:t xml:space="preserve">Modifíquense el numeral 3 del parágrafo y el parágrafo transitorio del artículo 814 del </w:t>
      </w:r>
      <w:r w:rsidR="00145E2B">
        <w:rPr>
          <w:rFonts w:ascii="Times New Roman" w:hAnsi="Times New Roman"/>
          <w:i/>
        </w:rPr>
        <w:t>*</w:t>
      </w:r>
      <w:r w:rsidRPr="00F53530">
        <w:rPr>
          <w:rFonts w:ascii="Times New Roman" w:hAnsi="Times New Roman"/>
          <w:i/>
        </w:rPr>
        <w:t>Estatuto Tributario, los cuales quedarán así:</w:t>
      </w:r>
    </w:p>
    <w:p w14:paraId="045A3D1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Los intereses que se causen por el plazo otorgado en el acuerdo de pago para las obligaciones fiscales susceptibles de negociación, se liquidarán a la tasa que se haya pactado en el acuerdo de restructuración con las entidades financieras. Dicha tasa se podrá aplicar desde el vencimiento original de las obligaciones fiscales objeto de la facilidad de pago, cuando desde el punto de vista de viabilidad financiera de la compañía sea necesario reliquidar este interés, de conformidad con las siguientes reglas:</w:t>
      </w:r>
    </w:p>
    <w:p w14:paraId="045A3D1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En ningún caso la tasa de interés efectiva de las obligaciones fiscales podrá ser inferior a la tasa de interés efectiva más alta pactada a favor de cualquiera de los otros acreedores;</w:t>
      </w:r>
    </w:p>
    <w:p w14:paraId="045A3D1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La tasa de interés de las obligaciones fiscales que se pacte en acuerdo de pago, no podrá ser inferior al índice de precios al consumidor certificado por el DANE incrementado en el cincuenta por ciento (50%).</w:t>
      </w:r>
    </w:p>
    <w:p w14:paraId="045A3D13" w14:textId="43A5921B" w:rsidR="00040448"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TRANSITORIO</w:t>
      </w:r>
      <w:r w:rsidRPr="00F53530">
        <w:rPr>
          <w:rFonts w:ascii="Times New Roman" w:hAnsi="Times New Roman"/>
          <w:i/>
        </w:rPr>
        <w:t xml:space="preserve">. </w:t>
      </w:r>
      <w:r w:rsidR="00040448" w:rsidRPr="00F53530">
        <w:rPr>
          <w:rFonts w:ascii="Times New Roman" w:hAnsi="Times New Roman"/>
          <w:i/>
        </w:rPr>
        <w:t xml:space="preserve">En aquellos casos en que el respectivo deudor haya celebrado un acuerdo de restructuración de su deuda con establecimientos financieros, la DIAN podrá reliquidar las facilidades de pago que se encuentren vigentes a la fecha de expedición de la </w:t>
      </w:r>
      <w:hyperlink r:id="rId102" w:history="1">
        <w:r w:rsidR="00040448" w:rsidRPr="00FB68BE">
          <w:rPr>
            <w:rStyle w:val="Hipervnculo"/>
            <w:rFonts w:ascii="Times New Roman" w:hAnsi="Times New Roman"/>
            <w:i/>
          </w:rPr>
          <w:t>Ley 1943 de 2018</w:t>
        </w:r>
      </w:hyperlink>
      <w:r w:rsidR="00040448" w:rsidRPr="00F53530">
        <w:rPr>
          <w:rFonts w:ascii="Times New Roman" w:hAnsi="Times New Roman"/>
          <w:i/>
        </w:rPr>
        <w:t>. Lo anterior, con la finalidad de recalcular los intereses a cargo del contribuyente, aplicando para efectos de este recálculo, la tasa que se haya pactado en el acuerdo de restructuración mencionado a las obligaciones fiscales objeto de la facilidad de pago, desde la fecha original de vencimiento de estas.</w:t>
      </w:r>
    </w:p>
    <w:p w14:paraId="045A3D14" w14:textId="77777777" w:rsidR="00145E2B" w:rsidRPr="00F53530" w:rsidRDefault="00145E2B"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D15" w14:textId="77777777" w:rsidR="00040448" w:rsidRPr="00F53530" w:rsidRDefault="00040448" w:rsidP="00C44821">
      <w:pPr>
        <w:spacing w:before="240" w:after="240" w:line="240" w:lineRule="auto"/>
        <w:jc w:val="both"/>
        <w:rPr>
          <w:rFonts w:ascii="Times New Roman" w:hAnsi="Times New Roman"/>
        </w:rPr>
      </w:pPr>
      <w:r w:rsidRPr="00F771B8">
        <w:rPr>
          <w:rFonts w:ascii="Times New Roman" w:hAnsi="Times New Roman"/>
          <w:b/>
          <w:bCs/>
        </w:rPr>
        <w:t>ARTÍCULO 114.</w:t>
      </w:r>
      <w:r w:rsidR="00F771B8">
        <w:rPr>
          <w:rFonts w:ascii="Times New Roman" w:hAnsi="Times New Roman"/>
          <w:b/>
          <w:bCs/>
        </w:rPr>
        <w:t xml:space="preserve"> </w:t>
      </w:r>
      <w:r w:rsidRPr="00F53530">
        <w:rPr>
          <w:rFonts w:ascii="Times New Roman" w:hAnsi="Times New Roman"/>
        </w:rPr>
        <w:t xml:space="preserve">Modifíquese el parágrafo 1 del artículo 850 del </w:t>
      </w:r>
      <w:r w:rsidR="001348B2">
        <w:rPr>
          <w:rFonts w:ascii="Times New Roman" w:hAnsi="Times New Roman"/>
        </w:rPr>
        <w:t>*</w:t>
      </w:r>
      <w:r w:rsidRPr="00F53530">
        <w:rPr>
          <w:rFonts w:ascii="Times New Roman" w:hAnsi="Times New Roman"/>
        </w:rPr>
        <w:t>Estatuto Tributario, el cual quedará así:</w:t>
      </w:r>
    </w:p>
    <w:p w14:paraId="045A3D16"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Cuando se trate de responsables del impuesto sobre las ventas, la devolución de saldos originados en la declaración del impuesto sobre las ventas solo podrá ser solicitada por aquellos responsables de los bienes y servicios de que trata el artículo 481 de este Estatuto, por los productores de los bienes exentos a que se refiere el artículo 477 de este Estatuto, y los productores y vendedores de que tratan los numerales 4 y 5 del artículo 477 de este Estatuto, por los responsables de los bienes y servicios de que tratan los artículos 468-1 y 468-3 de este Estatuto y por aquellos que hayan sido objeto de retención.</w:t>
      </w:r>
    </w:p>
    <w:p w14:paraId="045A3D17" w14:textId="39251704"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En el caso de los productores de bienes exentos de que trata el artículo 477 de este Estatuto, los productores y vendedores de que tratan los numerales 4 y 5 del artículo 477 de este Estatuto y los </w:t>
      </w:r>
      <w:r w:rsidRPr="00F53530">
        <w:rPr>
          <w:rFonts w:ascii="Times New Roman" w:hAnsi="Times New Roman"/>
          <w:i/>
        </w:rPr>
        <w:lastRenderedPageBreak/>
        <w:t xml:space="preserve">responsables de los bienes y servicios de que tratan los artículos 468-1 y 468-3 de este Estatuto, los saldos a favor originados en la declaración del impuesto sobre las ventas por los excesos de impuesto descontable por diferencia de tarifa solo podrán ser solicitados en devolución una vez presentada la declaración del impuesto sobre la renta y complementarios correspondiente al período gravable en el que se originaron dichos saldos, salvo que el responsable ostente la calidad de operador económico autorizado en los términos del </w:t>
      </w:r>
      <w:hyperlink r:id="rId103" w:history="1">
        <w:r w:rsidRPr="00C5581B">
          <w:rPr>
            <w:rStyle w:val="Hipervnculo"/>
            <w:rFonts w:ascii="Times New Roman" w:hAnsi="Times New Roman"/>
            <w:i/>
          </w:rPr>
          <w:t>Decreto 3568 de 2011</w:t>
        </w:r>
      </w:hyperlink>
      <w:r w:rsidRPr="00F53530">
        <w:rPr>
          <w:rFonts w:ascii="Times New Roman" w:hAnsi="Times New Roman"/>
          <w:i/>
        </w:rPr>
        <w:t>, o las normas que lo modifiquen o sustituyan, caso en el cual la devolución podrá ser solicitada bimestralmente, de conformidad con lo previsto en el artículo 481 de este Estatuto.</w:t>
      </w:r>
    </w:p>
    <w:p w14:paraId="045A3D1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Adicionalmente, los productores de los bienes exentos de que trata el artículo 477 de este Estatuto, los productores y vendedores de que tratan los numerales 4 y 5 del artículo 477 de este Estatuto podrán solicitar en devolución, previas las compensaciones que deban realizarse, los saldos a favor de IVA que se hayan generado durante los tres primeros bimestres del año a partir del mes de julio del mismo año o periodo gravable, siempre y cuando hubiere cumplido con la obligación de presentar la declaración de renta del periodo gravable anterior si hubiere lugar a ella.</w:t>
      </w:r>
    </w:p>
    <w:p w14:paraId="045A3D19" w14:textId="77777777" w:rsidR="001348B2" w:rsidRDefault="001348B2" w:rsidP="00C44821">
      <w:pPr>
        <w:spacing w:before="240" w:after="240" w:line="240" w:lineRule="auto"/>
        <w:jc w:val="both"/>
        <w:rPr>
          <w:rFonts w:ascii="Times New Roman" w:hAnsi="Times New Roman"/>
          <w:b/>
          <w:b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D1A" w14:textId="77777777" w:rsidR="00040448" w:rsidRPr="00F53530" w:rsidRDefault="00040448" w:rsidP="00C44821">
      <w:pPr>
        <w:spacing w:before="240" w:after="240" w:line="240" w:lineRule="auto"/>
        <w:jc w:val="both"/>
        <w:rPr>
          <w:rFonts w:ascii="Times New Roman" w:hAnsi="Times New Roman"/>
        </w:rPr>
      </w:pPr>
      <w:r w:rsidRPr="00F771B8">
        <w:rPr>
          <w:rFonts w:ascii="Times New Roman" w:hAnsi="Times New Roman"/>
          <w:b/>
          <w:bCs/>
        </w:rPr>
        <w:t>ARTÍCULO 115.</w:t>
      </w:r>
      <w:r w:rsidR="00F771B8">
        <w:rPr>
          <w:rFonts w:ascii="Times New Roman" w:hAnsi="Times New Roman"/>
          <w:b/>
          <w:bCs/>
        </w:rPr>
        <w:t xml:space="preserve"> </w:t>
      </w:r>
      <w:r w:rsidRPr="00F53530">
        <w:rPr>
          <w:rFonts w:ascii="Times New Roman" w:hAnsi="Times New Roman"/>
        </w:rPr>
        <w:t xml:space="preserve">Adiciónese un parágrafo 5 al artículo 855 del </w:t>
      </w:r>
      <w:r w:rsidR="001348B2">
        <w:rPr>
          <w:rFonts w:ascii="Times New Roman" w:hAnsi="Times New Roman"/>
        </w:rPr>
        <w:t>*</w:t>
      </w:r>
      <w:r w:rsidRPr="00F53530">
        <w:rPr>
          <w:rFonts w:ascii="Times New Roman" w:hAnsi="Times New Roman"/>
        </w:rPr>
        <w:t>Estatuto Tributario, el cual quedará así:</w:t>
      </w:r>
    </w:p>
    <w:p w14:paraId="045A3D1B"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5.</w:t>
      </w:r>
      <w:r w:rsidRPr="00F53530">
        <w:rPr>
          <w:rFonts w:ascii="Times New Roman" w:hAnsi="Times New Roman"/>
          <w:i/>
        </w:rPr>
        <w:t xml:space="preserve"> </w:t>
      </w:r>
      <w:r w:rsidR="00040448" w:rsidRPr="00F53530">
        <w:rPr>
          <w:rFonts w:ascii="Times New Roman" w:hAnsi="Times New Roman"/>
          <w:i/>
        </w:rPr>
        <w:t>La Dirección de Impuestos y Aduanas Nacionales (DIAN) podrá devolver, de forma automática, los saldos a favor originados en el impuesto sobre la renta y sobre las ventas.</w:t>
      </w:r>
    </w:p>
    <w:p w14:paraId="045A3D1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mecanismo de devolución automática de saldos a favor aplica para los contribuyentes y responsables que:</w:t>
      </w:r>
    </w:p>
    <w:p w14:paraId="045A3D1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No representen un riesgo alto de conformidad con el sistema de análisis de riesgo de la Dirección de Impuestos y Aduanas Nacionales (DIAN);</w:t>
      </w:r>
    </w:p>
    <w:p w14:paraId="045A3D1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Más del ochenta y cinco por ciento (85%) de los costos o gastos y/o impuestos sobre las ventas descontables provengan de proveedores que emitan sus facturas mediante el mecanismo de factura electrónica.</w:t>
      </w:r>
    </w:p>
    <w:p w14:paraId="045A3D1F"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El Gobierno nacional reglamentará el mecanismo de devolución automática.</w:t>
      </w:r>
    </w:p>
    <w:p w14:paraId="045A3D20" w14:textId="77777777" w:rsidR="001348B2" w:rsidRPr="00F53530" w:rsidRDefault="001348B2"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D21" w14:textId="77777777" w:rsidR="00040448" w:rsidRPr="00F53530" w:rsidRDefault="00040448" w:rsidP="00C44821">
      <w:pPr>
        <w:spacing w:before="240" w:after="240" w:line="240" w:lineRule="auto"/>
        <w:jc w:val="both"/>
        <w:rPr>
          <w:rFonts w:ascii="Times New Roman" w:hAnsi="Times New Roman"/>
        </w:rPr>
      </w:pPr>
      <w:r w:rsidRPr="00F771B8">
        <w:rPr>
          <w:rFonts w:ascii="Times New Roman" w:hAnsi="Times New Roman"/>
          <w:b/>
          <w:bCs/>
        </w:rPr>
        <w:t>ARTÍCULO 116.</w:t>
      </w:r>
      <w:r w:rsidR="00F771B8">
        <w:rPr>
          <w:rFonts w:ascii="Times New Roman" w:hAnsi="Times New Roman"/>
          <w:b/>
          <w:bCs/>
        </w:rPr>
        <w:t xml:space="preserve"> </w:t>
      </w:r>
      <w:r w:rsidRPr="00F53530">
        <w:rPr>
          <w:rFonts w:ascii="Times New Roman" w:hAnsi="Times New Roman"/>
        </w:rPr>
        <w:t xml:space="preserve">Adiciónese el artículo 869-3 al </w:t>
      </w:r>
      <w:r w:rsidR="001348B2">
        <w:rPr>
          <w:rFonts w:ascii="Times New Roman" w:hAnsi="Times New Roman"/>
        </w:rPr>
        <w:t>*</w:t>
      </w:r>
      <w:r w:rsidRPr="00F53530">
        <w:rPr>
          <w:rFonts w:ascii="Times New Roman" w:hAnsi="Times New Roman"/>
        </w:rPr>
        <w:t>Estatuto Tributario, el cual quedará así:</w:t>
      </w:r>
    </w:p>
    <w:p w14:paraId="045A3D22" w14:textId="77777777" w:rsidR="00040448" w:rsidRPr="00F53530" w:rsidRDefault="00040448" w:rsidP="00C44821">
      <w:pPr>
        <w:spacing w:before="240" w:after="240" w:line="240" w:lineRule="auto"/>
        <w:jc w:val="both"/>
        <w:rPr>
          <w:rFonts w:ascii="Times New Roman" w:hAnsi="Times New Roman"/>
          <w:i/>
        </w:rPr>
      </w:pPr>
      <w:r w:rsidRPr="009A77AA">
        <w:rPr>
          <w:rFonts w:ascii="Times New Roman" w:hAnsi="Times New Roman"/>
          <w:b/>
          <w:bCs/>
          <w:i/>
        </w:rPr>
        <w:t>Artículo 869-3</w:t>
      </w:r>
      <w:r w:rsidR="00280B8A" w:rsidRPr="009A77AA">
        <w:rPr>
          <w:rFonts w:ascii="Times New Roman" w:hAnsi="Times New Roman"/>
          <w:b/>
          <w:bCs/>
          <w:i/>
        </w:rPr>
        <w:t>.</w:t>
      </w:r>
      <w:r w:rsidRPr="009A77AA">
        <w:rPr>
          <w:rFonts w:ascii="Times New Roman" w:hAnsi="Times New Roman"/>
          <w:b/>
          <w:bCs/>
          <w:i/>
        </w:rPr>
        <w:t xml:space="preserve"> Procedimiento de mutuo acuerdo.</w:t>
      </w:r>
      <w:r w:rsidRPr="00F53530">
        <w:rPr>
          <w:rFonts w:ascii="Times New Roman" w:hAnsi="Times New Roman"/>
          <w:i/>
        </w:rPr>
        <w:t xml:space="preserve"> Los contribuyentes podrán solicitar asistencia para el Procedimiento de Mutuo Acuerdo (MAP) regulado en los convenios para evitar la doble imposición suscritos por Colombia a través de la presentación de una solicitud formal ante la Dirección de Impuestos y Aduanas Nacionales (DIAN). El contenido de la solicitud, así como los detalles del procedimiento, serán aquellos que disponga la Dirección de Impuestos y Aduanas Nacionales (DIAN) mediante resolución. La Autoridad Competente para desarrollar el Procedimiento de Mutuo Acuerdo (MAP) será el Director General de la Dirección de Impuestos y </w:t>
      </w:r>
      <w:r w:rsidRPr="00F53530">
        <w:rPr>
          <w:rFonts w:ascii="Times New Roman" w:hAnsi="Times New Roman"/>
          <w:i/>
        </w:rPr>
        <w:lastRenderedPageBreak/>
        <w:t>Aduanas Nacionales (DIAN) o quien este delegue, quienes contarán con los recursos necesarios para llevar a cabo el Procedimiento de Mutuo Acuerdo (MAP).</w:t>
      </w:r>
    </w:p>
    <w:p w14:paraId="045A3D2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acuerdos que suscriba la Autoridad Competente de Colombia en desarrollo del Procedimiento de Mutuo Acuerdo (MAP) establecido en los convenios para evitar la doble imposición tendrán la misma naturaleza jurídica y tratamiento que un fallo judicial definitivo, por lo cual prestarán mérito ejecutivo, no serán susceptibles de recurso alguno, y podrán ser implementados en cualquier momento independientemente del período de firmeza establecido para las declaraciones pertinentes.</w:t>
      </w:r>
    </w:p>
    <w:p w14:paraId="045A3D24"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w:t>
      </w:r>
      <w:r w:rsidR="00A03C6F" w:rsidRPr="00F53530">
        <w:rPr>
          <w:rFonts w:ascii="Times New Roman" w:hAnsi="Times New Roman"/>
          <w:i/>
        </w:rPr>
        <w:t xml:space="preserve"> </w:t>
      </w:r>
      <w:r w:rsidR="00040448" w:rsidRPr="00F53530">
        <w:rPr>
          <w:rFonts w:ascii="Times New Roman" w:hAnsi="Times New Roman"/>
          <w:i/>
        </w:rPr>
        <w:t>En caso de aprobación de una solicitud de Procedimiento de Mutuo Acuerdo (MAP), los contribuyentes deberán desistir de los recursos interpuestos en sede administrativa respecto de las glosas que se deseen someter a Procedimiento de Mutuo Acuerdo (MAP). Dicho desistimiento deberá ser aceptado por la Dirección de Impuestos y Aduanas Nacionales (DIAN) siempre que se adjunte copia de la decisión aprobando la solicitud de acceso a Procedimiento de Mutuo Acuerdo (MAP).</w:t>
      </w:r>
    </w:p>
    <w:p w14:paraId="045A3D2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contribuyentes que cuenten con una solicitud de Procedimiento de Mutuo Acuerdo (MAP) aprobada y que hayan radicado una acción judicial ante la jurisdicción contencioso-administrativa deberán desistir de dicha acción en los puntos del litigio que deseen someter a Procedimiento de Mutuo Acuerdo (MAP). Dicho desistimiento deberá ser aceptado por la jurisdicción, siempre que con el desistimiento se adjunte copia de la decisión aprobando la solicitud de acceso a Procedimiento de Mutuo Acuerdo (MAP).</w:t>
      </w:r>
    </w:p>
    <w:p w14:paraId="045A3D26"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Desde la radicación del desistimiento en vía administrativa o judicial, se suspenderá cualquier procedimiento de cobro coactivo hasta tanto no se expida una decisión final de Procedimiento de Mutuo Acuerdo (MAP) o se notifique de la cesación del procedimiento de mutuo acuerdo por parte de la Autoridad Competente.</w:t>
      </w:r>
    </w:p>
    <w:p w14:paraId="045A3D27" w14:textId="77777777" w:rsidR="001348B2" w:rsidRPr="00F53530" w:rsidRDefault="001348B2"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D28" w14:textId="77777777" w:rsidR="00040448" w:rsidRDefault="00040448" w:rsidP="00C44821">
      <w:pPr>
        <w:spacing w:before="240" w:after="240" w:line="240" w:lineRule="auto"/>
        <w:jc w:val="both"/>
        <w:rPr>
          <w:rFonts w:ascii="Times New Roman" w:hAnsi="Times New Roman"/>
        </w:rPr>
      </w:pPr>
      <w:r w:rsidRPr="00F771B8">
        <w:rPr>
          <w:rFonts w:ascii="Times New Roman" w:hAnsi="Times New Roman"/>
          <w:b/>
          <w:bCs/>
        </w:rPr>
        <w:t>ARTÍCULO 117. TÉRMINO DE FIRMEZA.</w:t>
      </w:r>
      <w:r w:rsidR="00F771B8">
        <w:rPr>
          <w:rFonts w:ascii="Times New Roman" w:hAnsi="Times New Roman"/>
          <w:b/>
          <w:bCs/>
        </w:rPr>
        <w:t xml:space="preserve"> </w:t>
      </w:r>
      <w:r w:rsidRPr="00F53530">
        <w:rPr>
          <w:rFonts w:ascii="Times New Roman" w:hAnsi="Times New Roman"/>
        </w:rPr>
        <w:t xml:space="preserve">El término de firmeza de los artículos 147 y 714 del </w:t>
      </w:r>
      <w:r w:rsidR="006345D1">
        <w:rPr>
          <w:rFonts w:ascii="Times New Roman" w:hAnsi="Times New Roman"/>
        </w:rPr>
        <w:t>*</w:t>
      </w:r>
      <w:r w:rsidRPr="00F53530">
        <w:rPr>
          <w:rFonts w:ascii="Times New Roman" w:hAnsi="Times New Roman"/>
        </w:rPr>
        <w:t>Estatuto Tributario de la declaración del impuesto sobre la renta y complementarios de los contribuyentes que determinen o compensen pérdidas fiscales, o que estén sujetos al Régimen de Precios de Transferencia, será de cinco (5) años.</w:t>
      </w:r>
    </w:p>
    <w:p w14:paraId="045A3D29" w14:textId="77777777" w:rsidR="006345D1" w:rsidRPr="00F53530" w:rsidRDefault="006345D1"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D2A" w14:textId="77777777" w:rsidR="00040448" w:rsidRPr="00F53530" w:rsidRDefault="00040448" w:rsidP="00C44821">
      <w:pPr>
        <w:spacing w:before="240" w:after="240" w:line="240" w:lineRule="auto"/>
        <w:jc w:val="both"/>
        <w:rPr>
          <w:rFonts w:ascii="Times New Roman" w:hAnsi="Times New Roman"/>
        </w:rPr>
      </w:pPr>
      <w:r w:rsidRPr="00F771B8">
        <w:rPr>
          <w:rFonts w:ascii="Times New Roman" w:hAnsi="Times New Roman"/>
          <w:b/>
          <w:bCs/>
        </w:rPr>
        <w:t>ARTÍCULO 118. CONCILIACIÓN CONTENCIOSO-ADMINISTRATIVA EN MATERIA TRIBUTARIA, ADUANERA Y CAMBIARIA.</w:t>
      </w:r>
      <w:r w:rsidR="00F771B8">
        <w:rPr>
          <w:rFonts w:ascii="Times New Roman" w:hAnsi="Times New Roman"/>
          <w:b/>
          <w:bCs/>
        </w:rPr>
        <w:t xml:space="preserve"> </w:t>
      </w:r>
      <w:r w:rsidRPr="00F53530">
        <w:rPr>
          <w:rFonts w:ascii="Times New Roman" w:hAnsi="Times New Roman"/>
        </w:rPr>
        <w:t>Facúltese a la Dirección de Impuestos y Aduanas Nacionales (DIAN) para realizar conciliaciones en procesos contenciosos administrativos, en materia tributaria, aduanera y cambiaria de acuerdo con los siguientes términos y condiciones:</w:t>
      </w:r>
    </w:p>
    <w:p w14:paraId="045A3D2B"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Los contribuyentes, agentes de retención y responsables de los impuestos nacionales, los usuarios aduaneros y del régimen cambiario, que hayan presentado demanda de nulidad y restablecimiento del derecho ante la jurisdicción de lo contencioso administrativo, podrán conciliar el valor de las sanciones e intereses según el caso, discutidos contra liquidaciones oficiales, mediante solicitud presentada ante la Dirección de Impuestos y Aduanas Nacionales (DIAN), así:</w:t>
      </w:r>
    </w:p>
    <w:p w14:paraId="045A3D2C"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lastRenderedPageBreak/>
        <w:t>Por el ochenta (80%) del valor total de las sanciones, intereses y actualización según el caso, cuando el proceso contra una liquidación oficial se encuentre en única o primera instancia ante un Juzgado Administrativo o Tribunal Administrativo, siempre y cuando el demandante pague el ciento por ciento (100%) del impuesto en discusión y el veinte por ciento (20%) del valor total de las sanciones, intereses y actualización.</w:t>
      </w:r>
    </w:p>
    <w:p w14:paraId="045A3D2D"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Cuando el proceso contra una liquidación oficial tributaria, y aduanera, se halle en segunda instancia ante el Tribunal Contencioso Administrativo o Consejo de Estado según el caso, se podrá solicitar la conciliación por el setenta por ciento (70%) del valor total de las sanciones, intereses y actualización según el caso, siempre y cuando el demandante pague el ciento por ciento (100%) del impuesto en discusión y el treinta por ciento (30%) del valor total de las sanciones, intereses y actualización. Se entenderá que el proceso se encuentra en segunda instancia cuando ha sido admitido el recurso de apelación interpuesto contra la sentencia de primera instancia.</w:t>
      </w:r>
    </w:p>
    <w:p w14:paraId="045A3D2E"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Cuando el acto demandado se trate de una resolución o acto administrativo mediante el cual se imponga sanción dineraria de carácter tributario, aduanero o cambiario, en las que no hubiere impuestos o tributos a discutir, la conciliación operará respecto del cincuenta por ciento (50%) de las sanciones actualizadas, para lo cual el obligado deberá pagar en los plazos y términos de esta ley, el cincuenta por ciento (50%) restante de la sanción actualizada.</w:t>
      </w:r>
    </w:p>
    <w:p w14:paraId="045A3D2F"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En el caso de actos administrativos que impongan sanciones por concepto de devoluciones o compensaciones improcedentes, la conciliación operará respecto del cincuenta por ciento (50%) de las sanciones actualizadas, siempre y cuando el contribuyente pague el cincuenta por ciento (50%) restante de la sanción actualizada y reintegre las sumas devueltas o compensadas o imputadas en exceso y sus respectivos intereses en los plazos y términos de esta ley, intereses que se reducirán al cincuenta por ciento (50%).</w:t>
      </w:r>
    </w:p>
    <w:p w14:paraId="045A3D30"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Para efectos de la aplicación de este artículo, los contribuyentes, agentes de retención, declarantes, responsables y usuarios aduaneros o cambiarios, según se trate, deberán cumplir con los siguientes requisitos y condiciones:</w:t>
      </w:r>
    </w:p>
    <w:p w14:paraId="045A3D31"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1. Haber presentado la demanda antes de la entrada en vigencia de esta ley.</w:t>
      </w:r>
    </w:p>
    <w:p w14:paraId="045A3D32"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2. Que la demanda haya sido admitida antes de la presentación de la solicitud de conciliación ante la Administración.</w:t>
      </w:r>
    </w:p>
    <w:p w14:paraId="045A3D33"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3. Que no exista sentencia o decisión judicial en firme que le ponga fin al respectivo proceso judicial.</w:t>
      </w:r>
    </w:p>
    <w:p w14:paraId="045A3D34"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4. Adjuntar prueba del pago, de las obligaciones objeto de conciliación de acuerdo con lo indicado en los incisos anteriores.</w:t>
      </w:r>
    </w:p>
    <w:p w14:paraId="045A3D35"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5. Aportar prueba del pago de la liquidación privada del impuesto o tributo objeto de conciliación correspondiente al año gravable 2019, siempre que hubiere lugar al pago de dicho impuesto.</w:t>
      </w:r>
    </w:p>
    <w:p w14:paraId="045A3D36"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6. Que la solicitud de conciliación sea presentada ante la Dirección de Impuestos y Aduanas Nacionales (DIAN) hasta el día 30 de junio de 2020.</w:t>
      </w:r>
    </w:p>
    <w:p w14:paraId="045A3D37"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El acta que dé lugar a la conciliación deberá suscribirse a más tardar el día 31 de julio de 2020 y presentarse por cualquiera de las partes para su aprobación ante el juez administrativo o ante la respectiva corporación de lo contencioso-administrativo, según el caso, dentro de los diez (10) días hábiles siguientes a su suscripción, demostrando el cumplimiento de los requisitos legales. Las </w:t>
      </w:r>
      <w:r w:rsidRPr="00F53530">
        <w:rPr>
          <w:rFonts w:ascii="Times New Roman" w:hAnsi="Times New Roman"/>
        </w:rPr>
        <w:lastRenderedPageBreak/>
        <w:t>conciliaciones de que trata el presente artículo deberán ser aceptadas por la autoridad judicial respectiva, dentro del término aquí mencionado.</w:t>
      </w:r>
    </w:p>
    <w:p w14:paraId="045A3D38"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La sentencia o auto que apruebe la conciliación prestará mérito ejecutivo de conformidad con lo señalado en los artículos 828 y 829 del </w:t>
      </w:r>
      <w:r w:rsidR="006345D1">
        <w:rPr>
          <w:rFonts w:ascii="Times New Roman" w:hAnsi="Times New Roman"/>
        </w:rPr>
        <w:t>*</w:t>
      </w:r>
      <w:r w:rsidRPr="00F53530">
        <w:rPr>
          <w:rFonts w:ascii="Times New Roman" w:hAnsi="Times New Roman"/>
        </w:rPr>
        <w:t>Estatuto Tributario, y hará tránsito a cosa juzgada.</w:t>
      </w:r>
    </w:p>
    <w:p w14:paraId="045A3D39" w14:textId="19766DB9"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Lo no previsto en esta disposición se regulará conforme lo dispuesto en la </w:t>
      </w:r>
      <w:hyperlink r:id="rId104" w:history="1">
        <w:r w:rsidRPr="001A3640">
          <w:rPr>
            <w:rStyle w:val="Hipervnculo"/>
            <w:rFonts w:ascii="Times New Roman" w:hAnsi="Times New Roman"/>
          </w:rPr>
          <w:t>Ley 446 de 1998</w:t>
        </w:r>
      </w:hyperlink>
      <w:r w:rsidRPr="00F53530">
        <w:rPr>
          <w:rFonts w:ascii="Times New Roman" w:hAnsi="Times New Roman"/>
        </w:rPr>
        <w:t xml:space="preserve"> y el </w:t>
      </w:r>
      <w:r w:rsidR="00805988">
        <w:rPr>
          <w:rFonts w:ascii="Times New Roman" w:hAnsi="Times New Roman"/>
        </w:rPr>
        <w:t>*</w:t>
      </w:r>
      <w:r w:rsidRPr="00F53530">
        <w:rPr>
          <w:rFonts w:ascii="Times New Roman" w:hAnsi="Times New Roman"/>
        </w:rPr>
        <w:t>Código de Procedimiento Administrativo y de lo Contencioso Administrativo, con excepción de las normas que le sean contrarias.</w:t>
      </w:r>
    </w:p>
    <w:p w14:paraId="045A3D3A" w14:textId="77777777" w:rsidR="00040448" w:rsidRPr="00F53530" w:rsidRDefault="00280B8A" w:rsidP="00C44821">
      <w:pPr>
        <w:spacing w:before="240" w:after="240" w:line="240" w:lineRule="auto"/>
        <w:jc w:val="both"/>
        <w:rPr>
          <w:rFonts w:ascii="Times New Roman" w:hAnsi="Times New Roman"/>
        </w:rPr>
      </w:pPr>
      <w:r w:rsidRPr="00F771B8">
        <w:rPr>
          <w:rFonts w:ascii="Times New Roman" w:hAnsi="Times New Roman"/>
          <w:b/>
          <w:bCs/>
        </w:rPr>
        <w:t>PARÁGRAFO 1.</w:t>
      </w:r>
      <w:r w:rsidRPr="00F53530">
        <w:rPr>
          <w:rFonts w:ascii="Times New Roman" w:hAnsi="Times New Roman"/>
        </w:rPr>
        <w:t xml:space="preserve"> </w:t>
      </w:r>
      <w:r w:rsidR="00040448" w:rsidRPr="00F53530">
        <w:rPr>
          <w:rFonts w:ascii="Times New Roman" w:hAnsi="Times New Roman"/>
        </w:rPr>
        <w:t>La conciliación podrá ser solicitada por aquellos que tengan la calidad de deudores solidarios o garantes del obligado.</w:t>
      </w:r>
    </w:p>
    <w:p w14:paraId="045A3D3B" w14:textId="4C079111" w:rsidR="00040448" w:rsidRPr="00F53530" w:rsidRDefault="00280B8A" w:rsidP="00C44821">
      <w:pPr>
        <w:spacing w:before="240" w:after="240" w:line="240" w:lineRule="auto"/>
        <w:jc w:val="both"/>
        <w:rPr>
          <w:rFonts w:ascii="Times New Roman" w:hAnsi="Times New Roman"/>
        </w:rPr>
      </w:pPr>
      <w:r w:rsidRPr="00F771B8">
        <w:rPr>
          <w:rFonts w:ascii="Times New Roman" w:hAnsi="Times New Roman"/>
          <w:b/>
          <w:bCs/>
        </w:rPr>
        <w:t>PARÁGRAFO 2</w:t>
      </w:r>
      <w:r w:rsidRPr="00F53530">
        <w:rPr>
          <w:rFonts w:ascii="Times New Roman" w:hAnsi="Times New Roman"/>
        </w:rPr>
        <w:t>.</w:t>
      </w:r>
      <w:r w:rsidR="00A03C6F" w:rsidRPr="00F53530">
        <w:rPr>
          <w:rFonts w:ascii="Times New Roman" w:hAnsi="Times New Roman"/>
        </w:rPr>
        <w:t xml:space="preserve"> </w:t>
      </w:r>
      <w:r w:rsidR="00040448" w:rsidRPr="00F53530">
        <w:rPr>
          <w:rFonts w:ascii="Times New Roman" w:hAnsi="Times New Roman"/>
        </w:rPr>
        <w:t xml:space="preserve">No podrán acceder a los beneficios de que trata el presente artículo los deudores que hayan suscrito acuerdos de pago con fundamento en el artículo 7 de la </w:t>
      </w:r>
      <w:hyperlink r:id="rId105" w:history="1">
        <w:r w:rsidR="00040448" w:rsidRPr="001A3640">
          <w:rPr>
            <w:rStyle w:val="Hipervnculo"/>
            <w:rFonts w:ascii="Times New Roman" w:hAnsi="Times New Roman"/>
          </w:rPr>
          <w:t>Ley 1066 de 2006</w:t>
        </w:r>
      </w:hyperlink>
      <w:r w:rsidR="00040448" w:rsidRPr="00F53530">
        <w:rPr>
          <w:rFonts w:ascii="Times New Roman" w:hAnsi="Times New Roman"/>
        </w:rPr>
        <w:t xml:space="preserve">, el artículo 1 de la </w:t>
      </w:r>
      <w:hyperlink r:id="rId106" w:history="1">
        <w:r w:rsidR="00040448" w:rsidRPr="001A3640">
          <w:rPr>
            <w:rStyle w:val="Hipervnculo"/>
            <w:rFonts w:ascii="Times New Roman" w:hAnsi="Times New Roman"/>
          </w:rPr>
          <w:t>Ley 1175 de 2007</w:t>
        </w:r>
      </w:hyperlink>
      <w:r w:rsidR="00040448" w:rsidRPr="00F53530">
        <w:rPr>
          <w:rFonts w:ascii="Times New Roman" w:hAnsi="Times New Roman"/>
        </w:rPr>
        <w:t xml:space="preserve">, el artículo 48 de la </w:t>
      </w:r>
      <w:hyperlink r:id="rId107" w:history="1">
        <w:r w:rsidR="00040448" w:rsidRPr="00F50CA6">
          <w:rPr>
            <w:rStyle w:val="Hipervnculo"/>
            <w:rFonts w:ascii="Times New Roman" w:hAnsi="Times New Roman"/>
          </w:rPr>
          <w:t>Ley 1430 de 2010</w:t>
        </w:r>
      </w:hyperlink>
      <w:r w:rsidR="00040448" w:rsidRPr="00F53530">
        <w:rPr>
          <w:rFonts w:ascii="Times New Roman" w:hAnsi="Times New Roman"/>
        </w:rPr>
        <w:t>, los artículos 147</w:t>
      </w:r>
      <w:r w:rsidR="009F6554" w:rsidRPr="00F53530">
        <w:rPr>
          <w:rFonts w:ascii="Times New Roman" w:hAnsi="Times New Roman"/>
        </w:rPr>
        <w:t>,</w:t>
      </w:r>
      <w:r w:rsidR="00040448" w:rsidRPr="00F53530">
        <w:rPr>
          <w:rFonts w:ascii="Times New Roman" w:hAnsi="Times New Roman"/>
        </w:rPr>
        <w:t xml:space="preserve"> 148 y 149 de la </w:t>
      </w:r>
      <w:hyperlink r:id="rId108" w:history="1">
        <w:r w:rsidR="00040448" w:rsidRPr="00F50CA6">
          <w:rPr>
            <w:rStyle w:val="Hipervnculo"/>
            <w:rFonts w:ascii="Times New Roman" w:hAnsi="Times New Roman"/>
          </w:rPr>
          <w:t>Ley 1607 de 2012</w:t>
        </w:r>
      </w:hyperlink>
      <w:r w:rsidR="00040448" w:rsidRPr="00F53530">
        <w:rPr>
          <w:rFonts w:ascii="Times New Roman" w:hAnsi="Times New Roman"/>
        </w:rPr>
        <w:t>, los artículos 55</w:t>
      </w:r>
      <w:r w:rsidR="009F6554" w:rsidRPr="00F53530">
        <w:rPr>
          <w:rFonts w:ascii="Times New Roman" w:hAnsi="Times New Roman"/>
        </w:rPr>
        <w:t>,</w:t>
      </w:r>
      <w:r w:rsidR="00040448" w:rsidRPr="00F53530">
        <w:rPr>
          <w:rFonts w:ascii="Times New Roman" w:hAnsi="Times New Roman"/>
        </w:rPr>
        <w:t xml:space="preserve"> 56 y 57 de la </w:t>
      </w:r>
      <w:hyperlink r:id="rId109" w:history="1">
        <w:r w:rsidR="00040448" w:rsidRPr="00E546FD">
          <w:rPr>
            <w:rStyle w:val="Hipervnculo"/>
            <w:rFonts w:ascii="Times New Roman" w:hAnsi="Times New Roman"/>
          </w:rPr>
          <w:t>Ley 1739 de 2014</w:t>
        </w:r>
      </w:hyperlink>
      <w:r w:rsidR="00040448" w:rsidRPr="00F53530">
        <w:rPr>
          <w:rFonts w:ascii="Times New Roman" w:hAnsi="Times New Roman"/>
        </w:rPr>
        <w:t xml:space="preserve">, los artículos 305 y 306 de la </w:t>
      </w:r>
      <w:hyperlink r:id="rId110" w:history="1">
        <w:r w:rsidR="00040448" w:rsidRPr="00713466">
          <w:rPr>
            <w:rStyle w:val="Hipervnculo"/>
            <w:rFonts w:ascii="Times New Roman" w:hAnsi="Times New Roman"/>
          </w:rPr>
          <w:t>Ley 1819 de 2016</w:t>
        </w:r>
      </w:hyperlink>
      <w:r w:rsidR="00040448" w:rsidRPr="00F53530">
        <w:rPr>
          <w:rFonts w:ascii="Times New Roman" w:hAnsi="Times New Roman"/>
        </w:rPr>
        <w:t xml:space="preserve">, y los artículos 100 y 101 de la </w:t>
      </w:r>
      <w:hyperlink r:id="rId111" w:history="1">
        <w:r w:rsidR="00040448" w:rsidRPr="00FB68BE">
          <w:rPr>
            <w:rStyle w:val="Hipervnculo"/>
            <w:rFonts w:ascii="Times New Roman" w:hAnsi="Times New Roman"/>
          </w:rPr>
          <w:t>Ley 1943 de 2018</w:t>
        </w:r>
      </w:hyperlink>
      <w:r w:rsidR="00040448" w:rsidRPr="00F53530">
        <w:rPr>
          <w:rFonts w:ascii="Times New Roman" w:hAnsi="Times New Roman"/>
        </w:rPr>
        <w:t>, que a la entrada en vigencia de la presente ley se encuentren en mora por las obligaciones contenidas en los mismos.</w:t>
      </w:r>
    </w:p>
    <w:p w14:paraId="045A3D3C" w14:textId="77777777" w:rsidR="00040448" w:rsidRPr="00F53530" w:rsidRDefault="00280B8A" w:rsidP="00C44821">
      <w:pPr>
        <w:spacing w:before="240" w:after="240" w:line="240" w:lineRule="auto"/>
        <w:jc w:val="both"/>
        <w:rPr>
          <w:rFonts w:ascii="Times New Roman" w:hAnsi="Times New Roman"/>
        </w:rPr>
      </w:pPr>
      <w:r w:rsidRPr="00F771B8">
        <w:rPr>
          <w:rFonts w:ascii="Times New Roman" w:hAnsi="Times New Roman"/>
          <w:b/>
          <w:bCs/>
        </w:rPr>
        <w:t>PARÁGRAFO 3.</w:t>
      </w:r>
      <w:r w:rsidR="00A03C6F" w:rsidRPr="00F53530">
        <w:rPr>
          <w:rFonts w:ascii="Times New Roman" w:hAnsi="Times New Roman"/>
        </w:rPr>
        <w:t xml:space="preserve"> </w:t>
      </w:r>
      <w:r w:rsidR="00040448" w:rsidRPr="00F53530">
        <w:rPr>
          <w:rFonts w:ascii="Times New Roman" w:hAnsi="Times New Roman"/>
        </w:rPr>
        <w:t>En materia aduanera, la conciliación prevista en este artículo no aplicará en relación con los actos de definición de la situación jurídica de las mercancías.</w:t>
      </w:r>
    </w:p>
    <w:p w14:paraId="045A3D3D" w14:textId="77777777" w:rsidR="00040448" w:rsidRPr="00F53530" w:rsidRDefault="00280B8A" w:rsidP="00C44821">
      <w:pPr>
        <w:spacing w:before="240" w:after="240" w:line="240" w:lineRule="auto"/>
        <w:jc w:val="both"/>
        <w:rPr>
          <w:rFonts w:ascii="Times New Roman" w:hAnsi="Times New Roman"/>
        </w:rPr>
      </w:pPr>
      <w:r w:rsidRPr="00F771B8">
        <w:rPr>
          <w:rFonts w:ascii="Times New Roman" w:hAnsi="Times New Roman"/>
          <w:b/>
          <w:bCs/>
        </w:rPr>
        <w:t>PARÁGRAFO 4.</w:t>
      </w:r>
      <w:r w:rsidRPr="00F53530">
        <w:rPr>
          <w:rFonts w:ascii="Times New Roman" w:hAnsi="Times New Roman"/>
        </w:rPr>
        <w:t xml:space="preserve"> </w:t>
      </w:r>
      <w:r w:rsidR="00040448" w:rsidRPr="00F53530">
        <w:rPr>
          <w:rFonts w:ascii="Times New Roman" w:hAnsi="Times New Roman"/>
        </w:rPr>
        <w:t>Los procesos que se encuentren surtiendo el recurso de súplica o de revisión ante el Consejo de Estado no serán objeto de la conciliación prevista en este artículo.</w:t>
      </w:r>
    </w:p>
    <w:p w14:paraId="045A3D3E" w14:textId="77777777" w:rsidR="00040448" w:rsidRPr="00F53530" w:rsidRDefault="00280B8A" w:rsidP="00C44821">
      <w:pPr>
        <w:spacing w:before="240" w:after="240" w:line="240" w:lineRule="auto"/>
        <w:jc w:val="both"/>
        <w:rPr>
          <w:rFonts w:ascii="Times New Roman" w:hAnsi="Times New Roman"/>
        </w:rPr>
      </w:pPr>
      <w:r w:rsidRPr="00F771B8">
        <w:rPr>
          <w:rFonts w:ascii="Times New Roman" w:hAnsi="Times New Roman"/>
          <w:b/>
          <w:bCs/>
        </w:rPr>
        <w:t>PARÁGRAFO 5.</w:t>
      </w:r>
      <w:r w:rsidR="00A03C6F" w:rsidRPr="00F53530">
        <w:rPr>
          <w:rFonts w:ascii="Times New Roman" w:hAnsi="Times New Roman"/>
        </w:rPr>
        <w:t xml:space="preserve"> </w:t>
      </w:r>
      <w:r w:rsidR="00040448" w:rsidRPr="00F53530">
        <w:rPr>
          <w:rFonts w:ascii="Times New Roman" w:hAnsi="Times New Roman"/>
        </w:rPr>
        <w:t>Facúltese a la Dirección de Impuestos y Aduanas Nacionales (DIAN) para crear Comités de Conciliación Seccionales en las Direcciones Seccionales de Impuestos y Aduanas Nacionales para el trámite y suscripción, si hay lugar a ello, de las solicitudes de conciliación de que trata el presente artículo, presentadas por los contribuyentes, usuarios aduaneros y/o cambiarios de su jurisdicción.</w:t>
      </w:r>
    </w:p>
    <w:p w14:paraId="045A3D3F" w14:textId="77777777" w:rsidR="00040448" w:rsidRPr="00F53530" w:rsidRDefault="00280B8A" w:rsidP="00C44821">
      <w:pPr>
        <w:spacing w:before="240" w:after="240" w:line="240" w:lineRule="auto"/>
        <w:jc w:val="both"/>
        <w:rPr>
          <w:rFonts w:ascii="Times New Roman" w:hAnsi="Times New Roman"/>
        </w:rPr>
      </w:pPr>
      <w:r w:rsidRPr="00F771B8">
        <w:rPr>
          <w:rFonts w:ascii="Times New Roman" w:hAnsi="Times New Roman"/>
          <w:b/>
          <w:bCs/>
        </w:rPr>
        <w:t>PARÁGRAFO 6.</w:t>
      </w:r>
      <w:r w:rsidR="00A03C6F" w:rsidRPr="00F53530">
        <w:rPr>
          <w:rFonts w:ascii="Times New Roman" w:hAnsi="Times New Roman"/>
        </w:rPr>
        <w:t xml:space="preserve"> </w:t>
      </w:r>
      <w:r w:rsidR="00040448" w:rsidRPr="00F53530">
        <w:rPr>
          <w:rFonts w:ascii="Times New Roman" w:hAnsi="Times New Roman"/>
        </w:rPr>
        <w:t>Facúltese a los entes territoriales y a las corporaciones autónomas regionales para realizar conciliaciones en procesos contenciosos administrativos en materia tributaria de acuerdo con su competencia.</w:t>
      </w:r>
    </w:p>
    <w:p w14:paraId="045A3D40" w14:textId="77777777" w:rsidR="00040448" w:rsidRPr="00F53530" w:rsidRDefault="00280B8A" w:rsidP="00C44821">
      <w:pPr>
        <w:spacing w:before="240" w:after="240" w:line="240" w:lineRule="auto"/>
        <w:jc w:val="both"/>
        <w:rPr>
          <w:rFonts w:ascii="Times New Roman" w:hAnsi="Times New Roman"/>
        </w:rPr>
      </w:pPr>
      <w:r w:rsidRPr="00F771B8">
        <w:rPr>
          <w:rFonts w:ascii="Times New Roman" w:hAnsi="Times New Roman"/>
          <w:b/>
          <w:bCs/>
        </w:rPr>
        <w:t xml:space="preserve">PARÁGRAFO </w:t>
      </w:r>
      <w:r w:rsidR="00580D5E">
        <w:rPr>
          <w:rFonts w:ascii="Times New Roman" w:hAnsi="Times New Roman"/>
          <w:b/>
          <w:bCs/>
        </w:rPr>
        <w:t>7.</w:t>
      </w:r>
      <w:r w:rsidR="00A03C6F" w:rsidRPr="00F53530">
        <w:rPr>
          <w:rFonts w:ascii="Times New Roman" w:hAnsi="Times New Roman"/>
        </w:rPr>
        <w:t xml:space="preserve"> </w:t>
      </w:r>
      <w:r w:rsidR="00040448" w:rsidRPr="00F53530">
        <w:rPr>
          <w:rFonts w:ascii="Times New Roman" w:hAnsi="Times New Roman"/>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14:paraId="045A3D41" w14:textId="77777777" w:rsidR="00040448" w:rsidRPr="00F53530" w:rsidRDefault="00040448" w:rsidP="00C44821">
      <w:pPr>
        <w:spacing w:before="240" w:after="240" w:line="240" w:lineRule="auto"/>
        <w:jc w:val="both"/>
        <w:rPr>
          <w:rFonts w:ascii="Times New Roman" w:hAnsi="Times New Roman"/>
        </w:rPr>
      </w:pPr>
      <w:r w:rsidRPr="00F771B8">
        <w:rPr>
          <w:rFonts w:ascii="Times New Roman" w:hAnsi="Times New Roman"/>
          <w:b/>
          <w:bCs/>
        </w:rPr>
        <w:t>PARÁGRAFO 8.</w:t>
      </w:r>
      <w:r w:rsidRPr="00F53530">
        <w:rPr>
          <w:rFonts w:ascii="Times New Roman" w:hAnsi="Times New Roman"/>
        </w:rPr>
        <w:t xml:space="preserve"> El Comité de Conciliación y Defensa Judicial de la Unidad Administrativa Especial de Gestión Pensional y Parafiscales (UGPP) podrá conciliar las sanciones e intereses derivados de los procesos administrativos, discutidos con ocasión de la expedición de los actos proferidos en el proceso de determinación o sancionatorio, en los mismos términos señalados en esta disposición.</w:t>
      </w:r>
    </w:p>
    <w:p w14:paraId="045A3D42"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Esta disposición no será aplicable a los intereses generados con ocasión a la determinación de los aportes del Sistema General de Pensiones, para lo cual los aportantes deberán acreditar el pago del 100% de los mismos o del cálculo actuarial cuando sea el caso.</w:t>
      </w:r>
    </w:p>
    <w:p w14:paraId="045A3D43"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lastRenderedPageBreak/>
        <w:t xml:space="preserve">De conformidad con lo dispuesto por el parágrafo del artículo 95 de la </w:t>
      </w:r>
      <w:r w:rsidR="00471356">
        <w:rPr>
          <w:rFonts w:ascii="Times New Roman" w:hAnsi="Times New Roman"/>
        </w:rPr>
        <w:t>*</w:t>
      </w:r>
      <w:r w:rsidRPr="00F53530">
        <w:rPr>
          <w:rFonts w:ascii="Times New Roman" w:hAnsi="Times New Roman"/>
        </w:rPr>
        <w:t>Ley 1437 de 2011, en estas conciliaciones se podrá proponer la revocatoria de los actos administrativos impugnados, aplicando lo dispuesto por el artículo 139 de la presente ley y esta disposición.</w:t>
      </w:r>
    </w:p>
    <w:p w14:paraId="045A3D44"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Contra la decisión del Comité de Conciliación y Defensa Judicial de la Unidad Administrativa Especial de Gestión Pensional y Parafiscales (UGPP) procederá únicamente el recurso de reposición en los términos del artículo 74 y siguientes del </w:t>
      </w:r>
      <w:r w:rsidR="00805988">
        <w:rPr>
          <w:rFonts w:ascii="Times New Roman" w:hAnsi="Times New Roman"/>
        </w:rPr>
        <w:t>*</w:t>
      </w:r>
      <w:r w:rsidRPr="00F53530">
        <w:rPr>
          <w:rFonts w:ascii="Times New Roman" w:hAnsi="Times New Roman"/>
        </w:rPr>
        <w:t>Código Administrativo y de lo Contencioso Administrativo -- Ley 1437 de 2011.</w:t>
      </w:r>
    </w:p>
    <w:p w14:paraId="045A3D45" w14:textId="77777777" w:rsidR="00040448" w:rsidRDefault="00280B8A" w:rsidP="00C44821">
      <w:pPr>
        <w:spacing w:before="240" w:after="240" w:line="240" w:lineRule="auto"/>
        <w:jc w:val="both"/>
        <w:rPr>
          <w:rFonts w:ascii="Times New Roman" w:hAnsi="Times New Roman"/>
        </w:rPr>
      </w:pPr>
      <w:r w:rsidRPr="00B26077">
        <w:rPr>
          <w:rFonts w:ascii="Times New Roman" w:hAnsi="Times New Roman"/>
          <w:b/>
          <w:bCs/>
        </w:rPr>
        <w:t>PARÁGRAFO 9.</w:t>
      </w:r>
      <w:r w:rsidRPr="00F53530">
        <w:rPr>
          <w:rFonts w:ascii="Times New Roman" w:hAnsi="Times New Roman"/>
        </w:rPr>
        <w:t xml:space="preserve"> </w:t>
      </w:r>
      <w:r w:rsidR="00040448" w:rsidRPr="00F53530">
        <w:rPr>
          <w:rFonts w:ascii="Times New Roman" w:hAnsi="Times New Roman"/>
        </w:rPr>
        <w:t xml:space="preserve">Los contribuyentes, agentes de retención y responsables de los impuestos nacionales, deudores solidarios o garantes, los usuarios aduaneros y del régimen cambiario que decidan acogerse a la conciliación contencioso-administrativa en materia tributaria, aduanera o cambiaria de que trata el presente artículo, podrán suscribir acuerdos de pago, los cuales no podrán exceder el término de doce (12) meses contados a partir de la suscripción del mismo. El plazo máximo de suscripción de los acuerdos de pago será el 30 de junio de 2020. El acuerdo deberá contener las garantías respectivas de conformidad con lo establecido en el artículo 814 del </w:t>
      </w:r>
      <w:r w:rsidR="006345D1">
        <w:rPr>
          <w:rFonts w:ascii="Times New Roman" w:hAnsi="Times New Roman"/>
        </w:rPr>
        <w:t>*</w:t>
      </w:r>
      <w:r w:rsidR="00040448" w:rsidRPr="00F53530">
        <w:rPr>
          <w:rFonts w:ascii="Times New Roman" w:hAnsi="Times New Roman"/>
        </w:rPr>
        <w:t xml:space="preserve">Estatuto Tributario. 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 En caso de incumplirse el acuerdo de pago, este prestará mérito ejecutivo en los términos del </w:t>
      </w:r>
      <w:r w:rsidR="006345D1">
        <w:rPr>
          <w:rFonts w:ascii="Times New Roman" w:hAnsi="Times New Roman"/>
        </w:rPr>
        <w:t>*</w:t>
      </w:r>
      <w:r w:rsidR="00040448" w:rsidRPr="00F53530">
        <w:rPr>
          <w:rFonts w:ascii="Times New Roman" w:hAnsi="Times New Roman"/>
        </w:rPr>
        <w:t>Estatuto Tributario por la suma total de la obligación tributaria más el ciento por ciento (100%) de las sanciones e intereses sobre los cuales versa el acuerdo de pago.</w:t>
      </w:r>
    </w:p>
    <w:p w14:paraId="045A3D46" w14:textId="77777777" w:rsidR="006345D1" w:rsidRPr="00F53530" w:rsidRDefault="006345D1"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w:t>
      </w:r>
      <w:r w:rsidR="00805988">
        <w:rPr>
          <w:rFonts w:ascii="Times New Roman" w:hAnsi="Times New Roman"/>
          <w:highlight w:val="green"/>
        </w:rPr>
        <w:t xml:space="preserve"> y a la Ley 1437 de 2011</w:t>
      </w:r>
      <w:r w:rsidRPr="008D21E5">
        <w:rPr>
          <w:rFonts w:ascii="Times New Roman" w:hAnsi="Times New Roman"/>
          <w:highlight w:val="green"/>
        </w:rPr>
        <w:t>, le sugerimos remitirse a la publicación de nuestro Grupo Editorial Nueva Legislación “Estatuto Tributario Nacional”</w:t>
      </w:r>
      <w:r w:rsidR="00805988">
        <w:rPr>
          <w:rFonts w:ascii="Times New Roman" w:hAnsi="Times New Roman"/>
          <w:highlight w:val="green"/>
        </w:rPr>
        <w:t xml:space="preserve"> y </w:t>
      </w:r>
      <w:r w:rsidR="00805988" w:rsidRPr="00C92E66">
        <w:rPr>
          <w:rFonts w:ascii="Times New Roman" w:hAnsi="Times New Roman"/>
          <w:highlight w:val="green"/>
        </w:rPr>
        <w:t>“</w:t>
      </w:r>
      <w:r w:rsidR="00805988">
        <w:rPr>
          <w:rFonts w:ascii="Times New Roman" w:hAnsi="Times New Roman"/>
          <w:highlight w:val="green"/>
        </w:rPr>
        <w:t>Código de Procedimiento Administrativo y de lo Contencioso Administrativo</w:t>
      </w:r>
      <w:r w:rsidR="00805988" w:rsidRPr="00EA4B97">
        <w:rPr>
          <w:rFonts w:ascii="Times New Roman" w:hAnsi="Times New Roman"/>
          <w:highlight w:val="green"/>
        </w:rPr>
        <w:t>”.</w:t>
      </w:r>
    </w:p>
    <w:p w14:paraId="045A3D47" w14:textId="3CEDA62F" w:rsidR="00474154" w:rsidRPr="0095513B" w:rsidRDefault="00474154" w:rsidP="00C44821">
      <w:pPr>
        <w:numPr>
          <w:ilvl w:val="0"/>
          <w:numId w:val="2"/>
        </w:numPr>
        <w:spacing w:after="0" w:line="240" w:lineRule="auto"/>
        <w:jc w:val="both"/>
        <w:rPr>
          <w:rFonts w:ascii="Times New Roman" w:hAnsi="Times New Roman"/>
          <w:b/>
          <w:highlight w:val="yellow"/>
        </w:rPr>
      </w:pPr>
      <w:hyperlink r:id="rId112" w:history="1">
        <w:r w:rsidRPr="00474154">
          <w:rPr>
            <w:rStyle w:val="Hipervnculo"/>
            <w:rFonts w:ascii="Times New Roman" w:hAnsi="Times New Roman"/>
            <w:b/>
            <w:highlight w:val="yellow"/>
          </w:rPr>
          <w:t>Decreto Único Reglamentario 1625 de 11 de octubre de 2016</w:t>
        </w:r>
      </w:hyperlink>
      <w:r w:rsidRPr="00474154">
        <w:rPr>
          <w:rFonts w:ascii="Times New Roman" w:hAnsi="Times New Roman"/>
          <w:b/>
          <w:highlight w:val="yellow"/>
        </w:rPr>
        <w:t xml:space="preserve">: </w:t>
      </w:r>
      <w:r w:rsidRPr="00474154">
        <w:rPr>
          <w:rFonts w:ascii="Times New Roman" w:hAnsi="Times New Roman"/>
          <w:highlight w:val="yellow"/>
        </w:rPr>
        <w:t>Arts. 1.6.4.1.1 al 1.6.4.3.8.</w:t>
      </w:r>
    </w:p>
    <w:p w14:paraId="045A3D48" w14:textId="7308B208" w:rsidR="0095513B" w:rsidRPr="0095513B" w:rsidRDefault="0095513B" w:rsidP="00C44821">
      <w:pPr>
        <w:numPr>
          <w:ilvl w:val="0"/>
          <w:numId w:val="2"/>
        </w:numPr>
        <w:spacing w:after="0" w:line="240" w:lineRule="auto"/>
        <w:jc w:val="both"/>
        <w:rPr>
          <w:rFonts w:ascii="Times New Roman" w:hAnsi="Times New Roman"/>
          <w:highlight w:val="yellow"/>
        </w:rPr>
      </w:pPr>
      <w:hyperlink r:id="rId113" w:history="1">
        <w:r w:rsidRPr="0095513B">
          <w:rPr>
            <w:rStyle w:val="Hipervnculo"/>
            <w:rFonts w:ascii="Times New Roman" w:hAnsi="Times New Roman"/>
            <w:b/>
            <w:highlight w:val="yellow"/>
          </w:rPr>
          <w:t>Decreto Único Reglamentario 1068 de 26 de mayo de 2015</w:t>
        </w:r>
      </w:hyperlink>
      <w:r w:rsidRPr="0095513B">
        <w:rPr>
          <w:rFonts w:ascii="Times New Roman" w:hAnsi="Times New Roman"/>
          <w:b/>
          <w:highlight w:val="yellow"/>
        </w:rPr>
        <w:t xml:space="preserve">: </w:t>
      </w:r>
      <w:r w:rsidRPr="0095513B">
        <w:rPr>
          <w:rFonts w:ascii="Times New Roman" w:hAnsi="Times New Roman"/>
          <w:highlight w:val="yellow"/>
        </w:rPr>
        <w:t>Arts. 2.12.2.4 al 2.12.2.7.</w:t>
      </w:r>
    </w:p>
    <w:p w14:paraId="045A3D49" w14:textId="77777777" w:rsidR="00474154" w:rsidRDefault="00474154" w:rsidP="00C44821">
      <w:pPr>
        <w:spacing w:after="0" w:line="240" w:lineRule="auto"/>
        <w:jc w:val="both"/>
        <w:rPr>
          <w:rFonts w:ascii="Times New Roman" w:hAnsi="Times New Roman"/>
          <w:b/>
          <w:highlight w:val="yellow"/>
        </w:rPr>
      </w:pPr>
    </w:p>
    <w:p w14:paraId="045A3D4A" w14:textId="77777777" w:rsidR="00B37730" w:rsidRPr="00303AC9" w:rsidRDefault="00B37730" w:rsidP="00C44821">
      <w:pPr>
        <w:spacing w:after="0" w:line="240" w:lineRule="auto"/>
        <w:jc w:val="both"/>
        <w:rPr>
          <w:rFonts w:ascii="Times New Roman" w:hAnsi="Times New Roman"/>
          <w:b/>
          <w:highlight w:val="yellow"/>
        </w:rPr>
      </w:pPr>
      <w:r w:rsidRPr="00303AC9">
        <w:rPr>
          <w:rFonts w:ascii="Times New Roman" w:hAnsi="Times New Roman"/>
          <w:b/>
          <w:highlight w:val="yellow"/>
        </w:rPr>
        <w:t>CONCORDANCIAS:</w:t>
      </w:r>
    </w:p>
    <w:p w14:paraId="045A3D4B" w14:textId="5E5DD29F" w:rsidR="00B37730" w:rsidRDefault="00B37730" w:rsidP="00C44821">
      <w:pPr>
        <w:numPr>
          <w:ilvl w:val="0"/>
          <w:numId w:val="7"/>
        </w:numPr>
        <w:spacing w:after="0" w:line="240" w:lineRule="auto"/>
        <w:jc w:val="both"/>
        <w:rPr>
          <w:rFonts w:ascii="Times New Roman" w:hAnsi="Times New Roman"/>
          <w:b/>
          <w:highlight w:val="yellow"/>
        </w:rPr>
      </w:pPr>
      <w:hyperlink r:id="rId114" w:history="1">
        <w:r w:rsidRPr="00D17C6D">
          <w:rPr>
            <w:rStyle w:val="Hipervnculo"/>
            <w:rFonts w:ascii="Times New Roman" w:hAnsi="Times New Roman"/>
            <w:b/>
            <w:highlight w:val="yellow"/>
          </w:rPr>
          <w:t>Decreto-Ley 688 de 22 de mayo de 2020</w:t>
        </w:r>
      </w:hyperlink>
      <w:r w:rsidRPr="00D17C6D">
        <w:rPr>
          <w:rFonts w:ascii="Times New Roman" w:hAnsi="Times New Roman"/>
          <w:b/>
          <w:highlight w:val="yellow"/>
        </w:rPr>
        <w:t>:</w:t>
      </w:r>
      <w:r w:rsidRPr="00D17C6D">
        <w:rPr>
          <w:rFonts w:ascii="Times New Roman" w:hAnsi="Times New Roman"/>
          <w:highlight w:val="yellow"/>
        </w:rPr>
        <w:t xml:space="preserve"> Por el cual se adoptan medidas tributarias transitorias en el marco del Estado de Emergencia Económica, Social y Ecológica de conformidad con el Decreto 637 de 2020.</w:t>
      </w:r>
    </w:p>
    <w:p w14:paraId="045A3D4C" w14:textId="7B283BD7" w:rsidR="004851EA" w:rsidRPr="004851EA" w:rsidRDefault="004851EA" w:rsidP="004851EA">
      <w:pPr>
        <w:numPr>
          <w:ilvl w:val="0"/>
          <w:numId w:val="7"/>
        </w:numPr>
        <w:spacing w:after="0" w:line="240" w:lineRule="auto"/>
        <w:jc w:val="both"/>
        <w:rPr>
          <w:rFonts w:ascii="Times New Roman" w:hAnsi="Times New Roman"/>
          <w:b/>
          <w:highlight w:val="yellow"/>
        </w:rPr>
      </w:pPr>
      <w:hyperlink r:id="rId115" w:history="1">
        <w:r w:rsidRPr="004851EA">
          <w:rPr>
            <w:rStyle w:val="Hipervnculo"/>
            <w:rFonts w:ascii="Times New Roman" w:hAnsi="Times New Roman"/>
            <w:b/>
            <w:highlight w:val="yellow"/>
          </w:rPr>
          <w:t>Resolución Unidad Administrativa Especial de Gestión Pensional y Contribuciones Parafiscales de la Protección Social No. 1039 de 4 de diciembre de 2020</w:t>
        </w:r>
      </w:hyperlink>
      <w:r w:rsidRPr="004851EA">
        <w:rPr>
          <w:rFonts w:ascii="Times New Roman" w:hAnsi="Times New Roman"/>
          <w:b/>
          <w:highlight w:val="yellow"/>
        </w:rPr>
        <w:t xml:space="preserve">: </w:t>
      </w:r>
      <w:r w:rsidRPr="004851EA">
        <w:rPr>
          <w:rFonts w:ascii="Times New Roman" w:hAnsi="Times New Roman"/>
          <w:highlight w:val="yellow"/>
        </w:rPr>
        <w:t>Por la cual se reanudan los términos para gestionar los trámites que son de competencia del Comité de Conciliación y Defensa Judicial de la Unidad Administrativa Especial de Gestión Pensional y Contribuciones Parafiscales de la Protección Social (UGPP) relacionados con las solicitudes de Terminación por Mutuo Acuerdo y Conciliación Contenciosa Administrativa en materia de parafiscales.</w:t>
      </w:r>
    </w:p>
    <w:p w14:paraId="045A3D4D" w14:textId="27628A71" w:rsidR="00C80A41" w:rsidRPr="00C80A41" w:rsidRDefault="00C80A41" w:rsidP="004851EA">
      <w:pPr>
        <w:numPr>
          <w:ilvl w:val="0"/>
          <w:numId w:val="7"/>
        </w:numPr>
        <w:spacing w:after="0" w:line="240" w:lineRule="auto"/>
        <w:jc w:val="both"/>
        <w:rPr>
          <w:rFonts w:ascii="Times New Roman" w:hAnsi="Times New Roman"/>
          <w:b/>
          <w:highlight w:val="yellow"/>
        </w:rPr>
      </w:pPr>
      <w:hyperlink r:id="rId116" w:history="1">
        <w:r w:rsidRPr="00C80A41">
          <w:rPr>
            <w:rStyle w:val="Hipervnculo"/>
            <w:rFonts w:ascii="Times New Roman" w:hAnsi="Times New Roman"/>
            <w:b/>
            <w:highlight w:val="yellow"/>
          </w:rPr>
          <w:t>Resolución DIAN No. 86 de 25 de agosto de 2020</w:t>
        </w:r>
      </w:hyperlink>
      <w:r w:rsidRPr="00C80A41">
        <w:rPr>
          <w:rFonts w:ascii="Times New Roman" w:hAnsi="Times New Roman"/>
          <w:b/>
          <w:highlight w:val="yellow"/>
        </w:rPr>
        <w:t>:</w:t>
      </w:r>
      <w:r w:rsidRPr="00C80A41">
        <w:rPr>
          <w:rFonts w:ascii="Times New Roman" w:hAnsi="Times New Roman"/>
          <w:highlight w:val="yellow"/>
        </w:rPr>
        <w:t xml:space="preserve"> Por la cual se crean los Comités Especiales de Conciliación y Terminación por Mutuo Acuerdo en las Direcciones Seccionales de Impuestos, de Impuestos y Aduanas y de Aduanas y se establece el trámite interno de las solicitudes de conciliación y terminación por mutuo acuerdo de que tratan los artículos 118 y 119 de la Ley 2010 de 2019.</w:t>
      </w:r>
    </w:p>
    <w:p w14:paraId="045A3D4E" w14:textId="77777777" w:rsidR="00B37730" w:rsidRPr="008D36C3" w:rsidRDefault="00B37730" w:rsidP="00C44821">
      <w:pPr>
        <w:spacing w:after="0" w:line="240" w:lineRule="auto"/>
        <w:jc w:val="both"/>
        <w:rPr>
          <w:rFonts w:ascii="Times New Roman" w:hAnsi="Times New Roman"/>
          <w:b/>
          <w:bCs/>
          <w:highlight w:val="lightGray"/>
        </w:rPr>
      </w:pPr>
    </w:p>
    <w:p w14:paraId="045A3D4F" w14:textId="77777777" w:rsidR="00A86766" w:rsidRPr="008D36C3" w:rsidRDefault="00A86766" w:rsidP="00C44821">
      <w:pPr>
        <w:spacing w:after="0" w:line="240" w:lineRule="auto"/>
        <w:jc w:val="both"/>
        <w:rPr>
          <w:rFonts w:ascii="Times New Roman" w:hAnsi="Times New Roman"/>
          <w:b/>
          <w:bCs/>
          <w:highlight w:val="lightGray"/>
        </w:rPr>
      </w:pPr>
      <w:r w:rsidRPr="008D36C3">
        <w:rPr>
          <w:rFonts w:ascii="Times New Roman" w:hAnsi="Times New Roman"/>
          <w:b/>
          <w:bCs/>
          <w:highlight w:val="lightGray"/>
        </w:rPr>
        <w:t>DOCTRINA:</w:t>
      </w:r>
    </w:p>
    <w:p w14:paraId="045A3D50" w14:textId="228880AE" w:rsidR="00F16590" w:rsidRPr="008D36C3" w:rsidRDefault="00F16590" w:rsidP="00F16590">
      <w:pPr>
        <w:numPr>
          <w:ilvl w:val="0"/>
          <w:numId w:val="2"/>
        </w:numPr>
        <w:spacing w:after="0" w:line="240" w:lineRule="auto"/>
        <w:jc w:val="both"/>
        <w:rPr>
          <w:rFonts w:ascii="Times New Roman" w:hAnsi="Times New Roman"/>
          <w:b/>
          <w:bCs/>
          <w:highlight w:val="lightGray"/>
        </w:rPr>
      </w:pPr>
      <w:hyperlink r:id="rId117" w:history="1">
        <w:r w:rsidRPr="008D36C3">
          <w:rPr>
            <w:rStyle w:val="Hipervnculo"/>
            <w:rFonts w:ascii="Times New Roman" w:hAnsi="Times New Roman"/>
            <w:b/>
            <w:bCs/>
            <w:highlight w:val="lightGray"/>
          </w:rPr>
          <w:t>CONCEPTO 900827 DE 3 DE FEBRERO DE 2021</w:t>
        </w:r>
      </w:hyperlink>
      <w:r w:rsidRPr="008D36C3">
        <w:rPr>
          <w:rFonts w:ascii="Times New Roman" w:hAnsi="Times New Roman"/>
          <w:b/>
          <w:bCs/>
          <w:highlight w:val="lightGray"/>
        </w:rPr>
        <w:t xml:space="preserve">. DIAN. </w:t>
      </w:r>
      <w:r w:rsidRPr="008D36C3">
        <w:rPr>
          <w:rFonts w:ascii="Times New Roman" w:hAnsi="Times New Roman"/>
          <w:bCs/>
          <w:i/>
          <w:highlight w:val="lightGray"/>
        </w:rPr>
        <w:t>Las solicitudes de conciliación y de terminación por mutuo acuerdo y favorabilidad tributaria, debieron atender al plazo establecido en el artículo 3 del Decreto Legislativo 688 de 2020.</w:t>
      </w:r>
    </w:p>
    <w:p w14:paraId="045A3D51" w14:textId="77777777" w:rsidR="00F16590" w:rsidRPr="008D36C3" w:rsidRDefault="00F16590" w:rsidP="00F16590">
      <w:pPr>
        <w:spacing w:after="0" w:line="240" w:lineRule="auto"/>
        <w:ind w:left="720"/>
        <w:jc w:val="both"/>
        <w:rPr>
          <w:rFonts w:ascii="Times New Roman" w:hAnsi="Times New Roman"/>
          <w:b/>
          <w:bCs/>
          <w:highlight w:val="lightGray"/>
        </w:rPr>
      </w:pPr>
    </w:p>
    <w:p w14:paraId="045A3D52" w14:textId="5D62CE2E" w:rsidR="00A86766" w:rsidRPr="008D36C3" w:rsidRDefault="00A86766" w:rsidP="00C44821">
      <w:pPr>
        <w:numPr>
          <w:ilvl w:val="0"/>
          <w:numId w:val="2"/>
        </w:numPr>
        <w:spacing w:after="0" w:line="240" w:lineRule="auto"/>
        <w:jc w:val="both"/>
        <w:rPr>
          <w:rFonts w:ascii="Times New Roman" w:hAnsi="Times New Roman"/>
          <w:b/>
          <w:bCs/>
          <w:highlight w:val="lightGray"/>
        </w:rPr>
      </w:pPr>
      <w:hyperlink r:id="rId118" w:history="1">
        <w:r w:rsidRPr="008D36C3">
          <w:rPr>
            <w:rStyle w:val="Hipervnculo"/>
            <w:rFonts w:ascii="Times New Roman" w:hAnsi="Times New Roman"/>
            <w:b/>
            <w:bCs/>
            <w:highlight w:val="lightGray"/>
          </w:rPr>
          <w:t>CONCEPTO 100208221-000091 DE 29 DE ENERO DE 2020</w:t>
        </w:r>
      </w:hyperlink>
      <w:r w:rsidRPr="008D36C3">
        <w:rPr>
          <w:rFonts w:ascii="Times New Roman" w:hAnsi="Times New Roman"/>
          <w:b/>
          <w:bCs/>
          <w:highlight w:val="lightGray"/>
        </w:rPr>
        <w:t xml:space="preserve">. DIAN. </w:t>
      </w:r>
      <w:r w:rsidRPr="008D36C3">
        <w:rPr>
          <w:rFonts w:ascii="Times New Roman" w:hAnsi="Times New Roman"/>
          <w:bCs/>
          <w:i/>
          <w:highlight w:val="lightGray"/>
        </w:rPr>
        <w:t xml:space="preserve">Conciliación Contencioso - Administrativa en </w:t>
      </w:r>
      <w:r w:rsidR="00163A67" w:rsidRPr="008D36C3">
        <w:rPr>
          <w:rFonts w:ascii="Times New Roman" w:hAnsi="Times New Roman"/>
          <w:bCs/>
          <w:i/>
          <w:highlight w:val="lightGray"/>
        </w:rPr>
        <w:t>materia tributaria, aduanera y cambiaria.</w:t>
      </w:r>
      <w:r w:rsidRPr="008D36C3">
        <w:rPr>
          <w:rFonts w:ascii="Times New Roman" w:hAnsi="Times New Roman"/>
          <w:bCs/>
          <w:i/>
          <w:highlight w:val="lightGray"/>
        </w:rPr>
        <w:t xml:space="preserve"> Terminación por </w:t>
      </w:r>
      <w:r w:rsidR="00163A67" w:rsidRPr="008D36C3">
        <w:rPr>
          <w:rFonts w:ascii="Times New Roman" w:hAnsi="Times New Roman"/>
          <w:bCs/>
          <w:i/>
          <w:highlight w:val="lightGray"/>
        </w:rPr>
        <w:t>mutuo acuerdo de los procesos administrativos tributarios, aduaneros y cambiarios. Principio de favorabilidad en etapa de cobro garantías.</w:t>
      </w:r>
    </w:p>
    <w:p w14:paraId="045A3D53" w14:textId="77777777" w:rsidR="00040448" w:rsidRPr="00F53530" w:rsidRDefault="00040448" w:rsidP="00C44821">
      <w:pPr>
        <w:spacing w:before="240" w:after="240" w:line="240" w:lineRule="auto"/>
        <w:jc w:val="both"/>
        <w:rPr>
          <w:rFonts w:ascii="Times New Roman" w:hAnsi="Times New Roman"/>
        </w:rPr>
      </w:pPr>
      <w:r w:rsidRPr="00B26077">
        <w:rPr>
          <w:rFonts w:ascii="Times New Roman" w:hAnsi="Times New Roman"/>
          <w:b/>
          <w:bCs/>
        </w:rPr>
        <w:t>ARTÍCULO 119. TERMINACIÓN POR MUTUO ACUERDO DE LOS PROCESOS ADMINISTRATIVOS TRIBUTARIOS, ADUANEROS Y CAMBIARIOS.</w:t>
      </w:r>
      <w:r w:rsidR="00B26077">
        <w:rPr>
          <w:rFonts w:ascii="Times New Roman" w:hAnsi="Times New Roman"/>
          <w:b/>
          <w:bCs/>
        </w:rPr>
        <w:t xml:space="preserve"> </w:t>
      </w:r>
      <w:r w:rsidRPr="00F53530">
        <w:rPr>
          <w:rFonts w:ascii="Times New Roman" w:hAnsi="Times New Roman"/>
        </w:rPr>
        <w:t>Facúltese a la Dirección de Impuestos y Aduanas Nacionales (DIAN) para terminar por mutuo acuerdo los procesos administrativos, en materias tributaria, aduanera y cambiaria, de acuerdo con los siguientes términos y condiciones:</w:t>
      </w:r>
    </w:p>
    <w:p w14:paraId="045A3D54"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Los contribuyentes, agentes de retención y responsables de los impuestos nacionales, los usuarios aduaneros y del régimen cambiario a quienes se les haya notificado antes de la entrada en vigencia de esta ley, requerimiento especial, liquidación oficial, resolución del recurso de reconsideración, podrán transar con la Dirección de Impuestos y Aduanas Nacionales (DIAN), hasta el 30 de junio de 2020, quien tendrá hasta el 17 de diciembre de 2020 para resolver dicha solicitud, el ochenta por ciento (80%) de las sanciones actualizadas, intereses, según el caso, siempre y cuando el contribuyente o responsable, agente retenedor o usuario aduanero, corrija su declaración privada, pague el ciento por ciento (100%) del impuesto o tributo a cargo, o del menor saldo a favor propuesto o liquidado, y el veinte por ciento (20%) restante de las sanciones e intereses.</w:t>
      </w:r>
    </w:p>
    <w:p w14:paraId="045A3D55"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Cuando se trate de pliegos de cargos y resoluciones mediante las cuales se impongan sanciones dinerarias, en las que no hubiere impuestos o tributos aduaneros en discusión, la transacción operará respecto del cincuenta por ciento (50%) de las sanciones actualizadas, para lo cual el obligado deberá pagar en los plazos y términos de esta ley, el cincuenta por ciento (50%) restante de la sanción actualizada.</w:t>
      </w:r>
    </w:p>
    <w:p w14:paraId="045A3D56"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En el caso de las resoluciones que imponen sanción por no declarar, y las resoluciones que fallan los respectivos recursos, la Dirección de Impuestos y Aduanas Nacionales (DIAN) podrá transar el setenta por ciento (70%) del valor de la sanción e intereses, siempre y cuando el contribuyente presente la declaración correspondiente al impuesto o tributo objeto de la sanción y pague el ciento por ciento (100%) de la totalidad del impuesto o tributo a cargo y el treinta por ciento (30%) de las sanciones e intereses. Para tales efectos los contribuyentes, agentes de retención, responsables y usuarios aduaneros deberán adjuntar la prueba del pago de la liquidación(es) privada(s) del impuesto objeto de la transacción correspondiente al año gravable 2019, siempre que hubiere lugar al pago de la liquidación privada de los impuestos y retenciones correspondientes al periodo materia de discusión.</w:t>
      </w:r>
    </w:p>
    <w:p w14:paraId="045A3D57"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En el caso de actos administrativos que impongan sanciones por concepto de devoluciones o compensaciones improcedentes, la transacción operará respecto del cincuenta por ciento (50%) de las sanciones actualizadas, siempre y cuando el contribuyente pague el cincuenta por ciento (50%) restante de la sanción actualizada y reintegre las sumas devueltas o compensadas o imputadas en exceso y sus respectivos intereses en los plazos y términos de esta ley, intereses que se reducirán al cincuenta por ciento (50%). En todo caso, en tratándose de la sanción del artículo 670 del </w:t>
      </w:r>
      <w:r w:rsidR="00580D5E">
        <w:rPr>
          <w:rFonts w:ascii="Times New Roman" w:hAnsi="Times New Roman"/>
        </w:rPr>
        <w:t>*</w:t>
      </w:r>
      <w:r w:rsidRPr="00F53530">
        <w:rPr>
          <w:rFonts w:ascii="Times New Roman" w:hAnsi="Times New Roman"/>
        </w:rPr>
        <w:t xml:space="preserve">Estatuto Tributario, si no se ha emitido resolución sanción a la fecha de la promulgación de esta ley, para poder acceder a la terminación por mutuo acuerdo, deberá pagarse la sanción respectiva actualizada </w:t>
      </w:r>
      <w:r w:rsidRPr="00F53530">
        <w:rPr>
          <w:rFonts w:ascii="Times New Roman" w:hAnsi="Times New Roman"/>
        </w:rPr>
        <w:lastRenderedPageBreak/>
        <w:t>disminuida en un cincuenta por ciento (50%) y los intereses moratorios correspondientes disminuidos en un cincuenta por ciento (50%).</w:t>
      </w:r>
    </w:p>
    <w:p w14:paraId="045A3D58"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El acta que aprueba la terminación por mutuo acuerdo pone fin a la actuación administrativa tributaria, aduanera o cambiaria, adelantada por la Dirección de Impuestos y Aduanas Nacionales (DIAN), y con la misma se entenderán extinguidas las obligaciones contenidas en el acto administrativo objeto de transacción. La solicitud de terminación por mutuo acuerdo no suspende los procesos administrativos de determinación de obligaciones ni los sancionatorios y, en consecuencia, los actos administrativos expedidos con posterioridad al acto administrativo transado quedarán sin efectos con la suscripción del acta que aprueba la terminación por mutuo acuerdo.</w:t>
      </w:r>
    </w:p>
    <w:p w14:paraId="045A3D59"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La terminación por mutuo acuerdo que pone fin a la actuación administrativa tributaria, aduanera o cambiaria, prestará mérito ejecutivo de conformidad con lo señalado en los artículos 828 y 829 del </w:t>
      </w:r>
      <w:r w:rsidR="00580D5E">
        <w:rPr>
          <w:rFonts w:ascii="Times New Roman" w:hAnsi="Times New Roman"/>
        </w:rPr>
        <w:t>*</w:t>
      </w:r>
      <w:r w:rsidRPr="00F53530">
        <w:rPr>
          <w:rFonts w:ascii="Times New Roman" w:hAnsi="Times New Roman"/>
        </w:rPr>
        <w:t>Estatuto Tributario.</w:t>
      </w:r>
    </w:p>
    <w:p w14:paraId="045A3D5A"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Los términos de corrección previstos en los artículos 588</w:t>
      </w:r>
      <w:r w:rsidR="009F6554" w:rsidRPr="00F53530">
        <w:rPr>
          <w:rFonts w:ascii="Times New Roman" w:hAnsi="Times New Roman"/>
        </w:rPr>
        <w:t>,</w:t>
      </w:r>
      <w:r w:rsidRPr="00F53530">
        <w:rPr>
          <w:rFonts w:ascii="Times New Roman" w:hAnsi="Times New Roman"/>
        </w:rPr>
        <w:t xml:space="preserve"> 709 y 713 del </w:t>
      </w:r>
      <w:r w:rsidR="00580D5E">
        <w:rPr>
          <w:rFonts w:ascii="Times New Roman" w:hAnsi="Times New Roman"/>
        </w:rPr>
        <w:t>*</w:t>
      </w:r>
      <w:r w:rsidRPr="00F53530">
        <w:rPr>
          <w:rFonts w:ascii="Times New Roman" w:hAnsi="Times New Roman"/>
        </w:rPr>
        <w:t>Estatuto Tributario se extenderán temporalmente, con el fin de permitir la adecuada aplicación de esta disposición.</w:t>
      </w:r>
    </w:p>
    <w:p w14:paraId="045A3D5B" w14:textId="77777777" w:rsidR="00040448" w:rsidRPr="00F53530" w:rsidRDefault="00280B8A" w:rsidP="00C44821">
      <w:pPr>
        <w:spacing w:before="240" w:after="240" w:line="240" w:lineRule="auto"/>
        <w:jc w:val="both"/>
        <w:rPr>
          <w:rFonts w:ascii="Times New Roman" w:hAnsi="Times New Roman"/>
        </w:rPr>
      </w:pPr>
      <w:r w:rsidRPr="00B26077">
        <w:rPr>
          <w:rFonts w:ascii="Times New Roman" w:hAnsi="Times New Roman"/>
          <w:b/>
          <w:bCs/>
        </w:rPr>
        <w:t>PARÁGRAFO 1.</w:t>
      </w:r>
      <w:r w:rsidRPr="00F53530">
        <w:rPr>
          <w:rFonts w:ascii="Times New Roman" w:hAnsi="Times New Roman"/>
        </w:rPr>
        <w:t xml:space="preserve"> </w:t>
      </w:r>
      <w:r w:rsidR="00040448" w:rsidRPr="00F53530">
        <w:rPr>
          <w:rFonts w:ascii="Times New Roman" w:hAnsi="Times New Roman"/>
        </w:rPr>
        <w:t>La terminación por mutuo acuerdo podrá ser solicitada por aquellos que tengan la calidad de deudores solidarios o garantes del obligado.</w:t>
      </w:r>
    </w:p>
    <w:p w14:paraId="045A3D5C" w14:textId="434ABDDA" w:rsidR="00040448" w:rsidRPr="00F53530" w:rsidRDefault="00280B8A" w:rsidP="00C44821">
      <w:pPr>
        <w:spacing w:before="240" w:after="240" w:line="240" w:lineRule="auto"/>
        <w:jc w:val="both"/>
        <w:rPr>
          <w:rFonts w:ascii="Times New Roman" w:hAnsi="Times New Roman"/>
        </w:rPr>
      </w:pPr>
      <w:r w:rsidRPr="00B26077">
        <w:rPr>
          <w:rFonts w:ascii="Times New Roman" w:hAnsi="Times New Roman"/>
          <w:b/>
          <w:bCs/>
        </w:rPr>
        <w:t>PARÁGRAFO 2</w:t>
      </w:r>
      <w:r w:rsidRPr="00F53530">
        <w:rPr>
          <w:rFonts w:ascii="Times New Roman" w:hAnsi="Times New Roman"/>
        </w:rPr>
        <w:t xml:space="preserve">. </w:t>
      </w:r>
      <w:r w:rsidR="00040448" w:rsidRPr="00F53530">
        <w:rPr>
          <w:rFonts w:ascii="Times New Roman" w:hAnsi="Times New Roman"/>
        </w:rPr>
        <w:t xml:space="preserve">No podrán acceder a los beneficios de que trata el presente artículo los deudores que hayan suscrito acuerdos de pago con fundamento en el artículo 7 de la </w:t>
      </w:r>
      <w:hyperlink r:id="rId119" w:history="1">
        <w:r w:rsidR="00040448" w:rsidRPr="001A3640">
          <w:rPr>
            <w:rStyle w:val="Hipervnculo"/>
            <w:rFonts w:ascii="Times New Roman" w:hAnsi="Times New Roman"/>
          </w:rPr>
          <w:t>Ley 1066 de 2006</w:t>
        </w:r>
      </w:hyperlink>
      <w:r w:rsidR="00040448" w:rsidRPr="00F53530">
        <w:rPr>
          <w:rFonts w:ascii="Times New Roman" w:hAnsi="Times New Roman"/>
        </w:rPr>
        <w:t xml:space="preserve">, el artículo 1 de la </w:t>
      </w:r>
      <w:hyperlink r:id="rId120" w:history="1">
        <w:r w:rsidR="00040448" w:rsidRPr="001A3640">
          <w:rPr>
            <w:rStyle w:val="Hipervnculo"/>
            <w:rFonts w:ascii="Times New Roman" w:hAnsi="Times New Roman"/>
          </w:rPr>
          <w:t>Ley 1175 de 2007</w:t>
        </w:r>
      </w:hyperlink>
      <w:r w:rsidR="00040448" w:rsidRPr="00F53530">
        <w:rPr>
          <w:rFonts w:ascii="Times New Roman" w:hAnsi="Times New Roman"/>
        </w:rPr>
        <w:t xml:space="preserve">, el artículo 48 de la </w:t>
      </w:r>
      <w:hyperlink r:id="rId121" w:history="1">
        <w:r w:rsidR="00040448" w:rsidRPr="00F50CA6">
          <w:rPr>
            <w:rStyle w:val="Hipervnculo"/>
            <w:rFonts w:ascii="Times New Roman" w:hAnsi="Times New Roman"/>
          </w:rPr>
          <w:t>Ley 1430 de 2010</w:t>
        </w:r>
      </w:hyperlink>
      <w:r w:rsidR="00040448" w:rsidRPr="00F53530">
        <w:rPr>
          <w:rFonts w:ascii="Times New Roman" w:hAnsi="Times New Roman"/>
        </w:rPr>
        <w:t>, los artículos 147</w:t>
      </w:r>
      <w:r w:rsidR="009F6554" w:rsidRPr="00F53530">
        <w:rPr>
          <w:rFonts w:ascii="Times New Roman" w:hAnsi="Times New Roman"/>
        </w:rPr>
        <w:t>,</w:t>
      </w:r>
      <w:r w:rsidR="00040448" w:rsidRPr="00F53530">
        <w:rPr>
          <w:rFonts w:ascii="Times New Roman" w:hAnsi="Times New Roman"/>
        </w:rPr>
        <w:t xml:space="preserve"> 148 y 149 de la </w:t>
      </w:r>
      <w:hyperlink r:id="rId122" w:history="1">
        <w:r w:rsidR="00040448" w:rsidRPr="00F50CA6">
          <w:rPr>
            <w:rStyle w:val="Hipervnculo"/>
            <w:rFonts w:ascii="Times New Roman" w:hAnsi="Times New Roman"/>
          </w:rPr>
          <w:t>Ley 1607 de 2012</w:t>
        </w:r>
      </w:hyperlink>
      <w:r w:rsidR="00040448" w:rsidRPr="00F53530">
        <w:rPr>
          <w:rFonts w:ascii="Times New Roman" w:hAnsi="Times New Roman"/>
        </w:rPr>
        <w:t>, los artículos 55</w:t>
      </w:r>
      <w:r w:rsidR="009F6554" w:rsidRPr="00F53530">
        <w:rPr>
          <w:rFonts w:ascii="Times New Roman" w:hAnsi="Times New Roman"/>
        </w:rPr>
        <w:t>,</w:t>
      </w:r>
      <w:r w:rsidR="00040448" w:rsidRPr="00F53530">
        <w:rPr>
          <w:rFonts w:ascii="Times New Roman" w:hAnsi="Times New Roman"/>
        </w:rPr>
        <w:t xml:space="preserve"> 56 y 57 de la </w:t>
      </w:r>
      <w:hyperlink r:id="rId123" w:history="1">
        <w:r w:rsidR="00040448" w:rsidRPr="00E546FD">
          <w:rPr>
            <w:rStyle w:val="Hipervnculo"/>
            <w:rFonts w:ascii="Times New Roman" w:hAnsi="Times New Roman"/>
          </w:rPr>
          <w:t>Ley 1739 de 2014</w:t>
        </w:r>
      </w:hyperlink>
      <w:r w:rsidR="00040448" w:rsidRPr="00F53530">
        <w:rPr>
          <w:rFonts w:ascii="Times New Roman" w:hAnsi="Times New Roman"/>
        </w:rPr>
        <w:t xml:space="preserve">, los artículos 305 y 306 de la </w:t>
      </w:r>
      <w:hyperlink r:id="rId124" w:history="1">
        <w:r w:rsidR="00040448" w:rsidRPr="00713466">
          <w:rPr>
            <w:rStyle w:val="Hipervnculo"/>
            <w:rFonts w:ascii="Times New Roman" w:hAnsi="Times New Roman"/>
          </w:rPr>
          <w:t>Ley 1819 de 2016</w:t>
        </w:r>
      </w:hyperlink>
      <w:r w:rsidR="00040448" w:rsidRPr="00F53530">
        <w:rPr>
          <w:rFonts w:ascii="Times New Roman" w:hAnsi="Times New Roman"/>
        </w:rPr>
        <w:t xml:space="preserve">, y los artículos 100 y 101 de la </w:t>
      </w:r>
      <w:hyperlink r:id="rId125" w:history="1">
        <w:r w:rsidR="00040448" w:rsidRPr="00FB68BE">
          <w:rPr>
            <w:rStyle w:val="Hipervnculo"/>
            <w:rFonts w:ascii="Times New Roman" w:hAnsi="Times New Roman"/>
          </w:rPr>
          <w:t>Ley 1943 de 2018</w:t>
        </w:r>
      </w:hyperlink>
      <w:r w:rsidR="00040448" w:rsidRPr="00F53530">
        <w:rPr>
          <w:rFonts w:ascii="Times New Roman" w:hAnsi="Times New Roman"/>
        </w:rPr>
        <w:t>, que a la entrada en vigencia de la presente ley se encuentren en mora por las obligaciones contenidas en los mismos.</w:t>
      </w:r>
    </w:p>
    <w:p w14:paraId="045A3D5D" w14:textId="77777777" w:rsidR="00040448" w:rsidRPr="00F53530" w:rsidRDefault="00280B8A" w:rsidP="00C44821">
      <w:pPr>
        <w:spacing w:before="240" w:after="240" w:line="240" w:lineRule="auto"/>
        <w:jc w:val="both"/>
        <w:rPr>
          <w:rFonts w:ascii="Times New Roman" w:hAnsi="Times New Roman"/>
        </w:rPr>
      </w:pPr>
      <w:r w:rsidRPr="00B26077">
        <w:rPr>
          <w:rFonts w:ascii="Times New Roman" w:hAnsi="Times New Roman"/>
          <w:b/>
          <w:bCs/>
        </w:rPr>
        <w:t>PARÁGRAFO 3.</w:t>
      </w:r>
      <w:r w:rsidR="00A03C6F" w:rsidRPr="00F53530">
        <w:rPr>
          <w:rFonts w:ascii="Times New Roman" w:hAnsi="Times New Roman"/>
        </w:rPr>
        <w:t xml:space="preserve"> </w:t>
      </w:r>
      <w:r w:rsidR="00040448" w:rsidRPr="00F53530">
        <w:rPr>
          <w:rFonts w:ascii="Times New Roman" w:hAnsi="Times New Roman"/>
        </w:rPr>
        <w:t>En materia aduanera, la transacción prevista en este artículo no aplicará en relación con los actos de definición de la situación jurídica de las mercancías.</w:t>
      </w:r>
    </w:p>
    <w:p w14:paraId="045A3D5E" w14:textId="77777777" w:rsidR="00040448" w:rsidRPr="00F53530" w:rsidRDefault="00280B8A" w:rsidP="00C44821">
      <w:pPr>
        <w:spacing w:before="240" w:after="240" w:line="240" w:lineRule="auto"/>
        <w:jc w:val="both"/>
        <w:rPr>
          <w:rFonts w:ascii="Times New Roman" w:hAnsi="Times New Roman"/>
        </w:rPr>
      </w:pPr>
      <w:r w:rsidRPr="00B26077">
        <w:rPr>
          <w:rFonts w:ascii="Times New Roman" w:hAnsi="Times New Roman"/>
          <w:b/>
          <w:bCs/>
        </w:rPr>
        <w:t>PARÁGRAFO 4.</w:t>
      </w:r>
      <w:r w:rsidR="00A03C6F" w:rsidRPr="00F53530">
        <w:rPr>
          <w:rFonts w:ascii="Times New Roman" w:hAnsi="Times New Roman"/>
        </w:rPr>
        <w:t xml:space="preserve"> </w:t>
      </w:r>
      <w:r w:rsidR="00040448" w:rsidRPr="00F53530">
        <w:rPr>
          <w:rFonts w:ascii="Times New Roman" w:hAnsi="Times New Roman"/>
        </w:rPr>
        <w:t>Facúltese a los entes territoriales y a las corporaciones autónomas regionales para realizar las terminaciones por mutuo acuerdo de los procesos administrativos tributarios, de acuerdo con su competencia.</w:t>
      </w:r>
    </w:p>
    <w:p w14:paraId="045A3D5F" w14:textId="77777777" w:rsidR="00040448" w:rsidRPr="00F53530" w:rsidRDefault="00280B8A" w:rsidP="00C44821">
      <w:pPr>
        <w:spacing w:before="240" w:after="240" w:line="240" w:lineRule="auto"/>
        <w:jc w:val="both"/>
        <w:rPr>
          <w:rFonts w:ascii="Times New Roman" w:hAnsi="Times New Roman"/>
        </w:rPr>
      </w:pPr>
      <w:r w:rsidRPr="00B26077">
        <w:rPr>
          <w:rFonts w:ascii="Times New Roman" w:hAnsi="Times New Roman"/>
          <w:b/>
          <w:bCs/>
        </w:rPr>
        <w:t>PARÁGRAFO 5.</w:t>
      </w:r>
      <w:r w:rsidR="00A03C6F" w:rsidRPr="00F53530">
        <w:rPr>
          <w:rFonts w:ascii="Times New Roman" w:hAnsi="Times New Roman"/>
        </w:rPr>
        <w:t xml:space="preserve"> </w:t>
      </w:r>
      <w:r w:rsidR="00040448" w:rsidRPr="00F53530">
        <w:rPr>
          <w:rFonts w:ascii="Times New Roman" w:hAnsi="Times New Roman"/>
        </w:rPr>
        <w:t>En los casos en los que el contribuyente pague valores adicionales a los que disponen en la presente norma, se considerará un pago de lo debido y no habrá lugar a devoluciones.</w:t>
      </w:r>
    </w:p>
    <w:p w14:paraId="045A3D60" w14:textId="77777777" w:rsidR="00040448" w:rsidRPr="00F53530" w:rsidRDefault="00280B8A" w:rsidP="00C44821">
      <w:pPr>
        <w:spacing w:before="240" w:after="240" w:line="240" w:lineRule="auto"/>
        <w:jc w:val="both"/>
        <w:rPr>
          <w:rFonts w:ascii="Times New Roman" w:hAnsi="Times New Roman"/>
        </w:rPr>
      </w:pPr>
      <w:r w:rsidRPr="00B26077">
        <w:rPr>
          <w:rFonts w:ascii="Times New Roman" w:hAnsi="Times New Roman"/>
          <w:b/>
          <w:bCs/>
        </w:rPr>
        <w:t>PARÁGRAFO 6.</w:t>
      </w:r>
      <w:r w:rsidRPr="00F53530">
        <w:rPr>
          <w:rFonts w:ascii="Times New Roman" w:hAnsi="Times New Roman"/>
        </w:rPr>
        <w:t xml:space="preserve"> </w:t>
      </w:r>
      <w:r w:rsidR="00040448" w:rsidRPr="00F53530">
        <w:rPr>
          <w:rFonts w:ascii="Times New Roman" w:hAnsi="Times New Roman"/>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14:paraId="045A3D61" w14:textId="77777777" w:rsidR="00040448" w:rsidRPr="00F53530" w:rsidRDefault="00280B8A" w:rsidP="00C44821">
      <w:pPr>
        <w:spacing w:before="240" w:after="240" w:line="240" w:lineRule="auto"/>
        <w:jc w:val="both"/>
        <w:rPr>
          <w:rFonts w:ascii="Times New Roman" w:hAnsi="Times New Roman"/>
        </w:rPr>
      </w:pPr>
      <w:r w:rsidRPr="00B26077">
        <w:rPr>
          <w:rFonts w:ascii="Times New Roman" w:hAnsi="Times New Roman"/>
          <w:b/>
          <w:bCs/>
        </w:rPr>
        <w:t xml:space="preserve">PARÁGRAFO </w:t>
      </w:r>
      <w:r w:rsidR="00580D5E">
        <w:rPr>
          <w:rFonts w:ascii="Times New Roman" w:hAnsi="Times New Roman"/>
          <w:b/>
          <w:bCs/>
        </w:rPr>
        <w:t>7</w:t>
      </w:r>
      <w:r w:rsidRPr="00B26077">
        <w:rPr>
          <w:rFonts w:ascii="Times New Roman" w:hAnsi="Times New Roman"/>
          <w:b/>
          <w:bCs/>
        </w:rPr>
        <w:t>.</w:t>
      </w:r>
      <w:r w:rsidR="00A03C6F" w:rsidRPr="00F53530">
        <w:rPr>
          <w:rFonts w:ascii="Times New Roman" w:hAnsi="Times New Roman"/>
        </w:rPr>
        <w:t xml:space="preserve"> </w:t>
      </w:r>
      <w:r w:rsidR="00040448" w:rsidRPr="00F53530">
        <w:rPr>
          <w:rFonts w:ascii="Times New Roman" w:hAnsi="Times New Roman"/>
        </w:rPr>
        <w:t>Las solicitudes de terminación por mutuo acuerdo, no serán rechazadas por motivo de firmeza del acto administrativo o por caducidad del término para presentar la demanda ante la jurisdicción contencioso administrativa, siempre y cuando el vencimiento del respectivo término ocurra con posterioridad a la presentación de la solicitud de terminación por mutuo acuerdo y que, a más tardar, el 30 de junio de 2020, se cumplan los demás requisitos establecidos en la ley. La solicitud de terminación por mutuo acuerdo no suspende los términos legales para la firmeza de los actos administrativos, ni los de caducidad para acudir a la Jurisdicción Contenciosa Administrativa.</w:t>
      </w:r>
    </w:p>
    <w:p w14:paraId="045A3D62" w14:textId="77777777" w:rsidR="00040448" w:rsidRPr="00F53530" w:rsidRDefault="00040448" w:rsidP="00C44821">
      <w:pPr>
        <w:spacing w:before="240" w:after="240" w:line="240" w:lineRule="auto"/>
        <w:jc w:val="both"/>
        <w:rPr>
          <w:rFonts w:ascii="Times New Roman" w:hAnsi="Times New Roman"/>
        </w:rPr>
      </w:pPr>
      <w:r w:rsidRPr="00026C42">
        <w:rPr>
          <w:rFonts w:ascii="Times New Roman" w:hAnsi="Times New Roman"/>
          <w:b/>
          <w:bCs/>
        </w:rPr>
        <w:lastRenderedPageBreak/>
        <w:t>PARÁGRAFO 8.</w:t>
      </w:r>
      <w:r w:rsidRPr="00F53530">
        <w:rPr>
          <w:rFonts w:ascii="Times New Roman" w:hAnsi="Times New Roman"/>
        </w:rPr>
        <w:t xml:space="preserve"> Si a la fecha de publicación de esta ley, o con posterioridad se ha presentado o se presenta demanda de nulidad y restablecimiento del derecho contra la liquidación oficial, la resolución que impone sanción o la resolución que decide el recurso de reconsideración contra dichos actos, podrá solicitarse la terminación por mutuo acuerdo, siempre que la demanda no haya sido admitida y a más tardar el 30 de junio de 2020 se acredite los requisitos señalados en este artículo y se presente la solicitud de retiro de la demanda ante el juez competente, en los términos establecidos en el artículo 174 de la </w:t>
      </w:r>
      <w:r w:rsidR="00471356">
        <w:rPr>
          <w:rFonts w:ascii="Times New Roman" w:hAnsi="Times New Roman"/>
        </w:rPr>
        <w:t>*</w:t>
      </w:r>
      <w:r w:rsidRPr="00F53530">
        <w:rPr>
          <w:rFonts w:ascii="Times New Roman" w:hAnsi="Times New Roman"/>
        </w:rPr>
        <w:t>Ley 1437 de 2011.</w:t>
      </w:r>
    </w:p>
    <w:p w14:paraId="045A3D63" w14:textId="77777777" w:rsidR="00040448" w:rsidRPr="00F53530" w:rsidRDefault="00280B8A" w:rsidP="00C44821">
      <w:pPr>
        <w:spacing w:before="240" w:after="240" w:line="240" w:lineRule="auto"/>
        <w:jc w:val="both"/>
        <w:rPr>
          <w:rFonts w:ascii="Times New Roman" w:hAnsi="Times New Roman"/>
        </w:rPr>
      </w:pPr>
      <w:r w:rsidRPr="00026C42">
        <w:rPr>
          <w:rFonts w:ascii="Times New Roman" w:hAnsi="Times New Roman"/>
          <w:b/>
          <w:bCs/>
        </w:rPr>
        <w:t>PARÁGRAFO 9.</w:t>
      </w:r>
      <w:r w:rsidR="00A03C6F" w:rsidRPr="00F53530">
        <w:rPr>
          <w:rFonts w:ascii="Times New Roman" w:hAnsi="Times New Roman"/>
        </w:rPr>
        <w:t xml:space="preserve"> </w:t>
      </w:r>
      <w:r w:rsidR="00040448" w:rsidRPr="00F53530">
        <w:rPr>
          <w:rFonts w:ascii="Times New Roman" w:hAnsi="Times New Roman"/>
        </w:rPr>
        <w:t>La reducción de intereses y sanciones tributarias a que hace referencia este artículo, podrá aplicarse únicamente respecto de los pagos realizados desde la fecha de publicación de esta ley.</w:t>
      </w:r>
    </w:p>
    <w:p w14:paraId="045A3D64" w14:textId="77777777" w:rsidR="00040448" w:rsidRPr="00F53530" w:rsidRDefault="00280B8A" w:rsidP="00C44821">
      <w:pPr>
        <w:spacing w:before="240" w:after="240" w:line="240" w:lineRule="auto"/>
        <w:jc w:val="both"/>
        <w:rPr>
          <w:rFonts w:ascii="Times New Roman" w:hAnsi="Times New Roman"/>
        </w:rPr>
      </w:pPr>
      <w:r w:rsidRPr="00026C42">
        <w:rPr>
          <w:rFonts w:ascii="Times New Roman" w:hAnsi="Times New Roman"/>
          <w:b/>
          <w:bCs/>
        </w:rPr>
        <w:t>PARÁGRAFO 10.</w:t>
      </w:r>
      <w:r w:rsidR="00A03C6F" w:rsidRPr="00F53530">
        <w:rPr>
          <w:rFonts w:ascii="Times New Roman" w:hAnsi="Times New Roman"/>
        </w:rPr>
        <w:t xml:space="preserve"> </w:t>
      </w:r>
      <w:r w:rsidR="00040448" w:rsidRPr="00F53530">
        <w:rPr>
          <w:rFonts w:ascii="Times New Roman" w:hAnsi="Times New Roman"/>
        </w:rPr>
        <w:t>El acto susceptible de ser transado será el último notificado a la fecha de presentación de la solicitud de terminación por mutuo acuerdo.</w:t>
      </w:r>
    </w:p>
    <w:p w14:paraId="045A3D65" w14:textId="77777777" w:rsidR="00040448" w:rsidRPr="00F53530" w:rsidRDefault="00280B8A" w:rsidP="00C44821">
      <w:pPr>
        <w:spacing w:before="240" w:after="240" w:line="240" w:lineRule="auto"/>
        <w:jc w:val="both"/>
        <w:rPr>
          <w:rFonts w:ascii="Times New Roman" w:hAnsi="Times New Roman"/>
        </w:rPr>
      </w:pPr>
      <w:r w:rsidRPr="00026C42">
        <w:rPr>
          <w:rFonts w:ascii="Times New Roman" w:hAnsi="Times New Roman"/>
          <w:b/>
          <w:bCs/>
        </w:rPr>
        <w:t>PARÁGRAFO 11.</w:t>
      </w:r>
      <w:r w:rsidR="00A03C6F" w:rsidRPr="00F53530">
        <w:rPr>
          <w:rFonts w:ascii="Times New Roman" w:hAnsi="Times New Roman"/>
        </w:rPr>
        <w:t xml:space="preserve"> </w:t>
      </w:r>
      <w:r w:rsidR="00040448" w:rsidRPr="00F53530">
        <w:rPr>
          <w:rFonts w:ascii="Times New Roman" w:hAnsi="Times New Roman"/>
        </w:rPr>
        <w:t>El Comité de Conciliación y Defensa Judicial de la Unidad de Gestión Pensional y Parafiscales (UGPP) podrá transar las sanciones e intereses derivados de los procesos administrativos de determinación o sancionatorios de su competencia, en los mismos términos señalados en esta disposición.</w:t>
      </w:r>
    </w:p>
    <w:p w14:paraId="045A3D66"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Esta disposición no será aplicable a los intereses generados con ocasión a la determinación de los aportes del Sistema General de Pensiones, para lo cual los aportantes deberán acreditar el pago del 100% de los mismos o del cálculo actuarial cuando sea el caso.</w:t>
      </w:r>
    </w:p>
    <w:p w14:paraId="045A3D67"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El Comité de Conciliación y Defensa Judicial de la Unidad de Gestión Pensional y Parafiscales (UGPP) decidirá las solicitudes de terminación por mutuo acuerdo una vez culmine la verificación de los pagos respectivos y contra dicha decisión procederá únicamente el recurso de reposición en los términos del artículo 74 y siguientes del </w:t>
      </w:r>
      <w:r w:rsidR="00805988">
        <w:rPr>
          <w:rFonts w:ascii="Times New Roman" w:hAnsi="Times New Roman"/>
        </w:rPr>
        <w:t>*</w:t>
      </w:r>
      <w:r w:rsidRPr="00F53530">
        <w:rPr>
          <w:rFonts w:ascii="Times New Roman" w:hAnsi="Times New Roman"/>
        </w:rPr>
        <w:t>Código Administrativo y de lo Contencioso Administrativo -- Ley 1437 de 2011.</w:t>
      </w:r>
    </w:p>
    <w:p w14:paraId="045A3D68" w14:textId="77777777" w:rsidR="00040448" w:rsidRPr="00F53530" w:rsidRDefault="00280B8A" w:rsidP="00C44821">
      <w:pPr>
        <w:spacing w:before="240" w:after="240" w:line="240" w:lineRule="auto"/>
        <w:jc w:val="both"/>
        <w:rPr>
          <w:rFonts w:ascii="Times New Roman" w:hAnsi="Times New Roman"/>
        </w:rPr>
      </w:pPr>
      <w:r w:rsidRPr="00026C42">
        <w:rPr>
          <w:rFonts w:ascii="Times New Roman" w:hAnsi="Times New Roman"/>
          <w:b/>
          <w:bCs/>
        </w:rPr>
        <w:t>PARÁGRAFO 12.</w:t>
      </w:r>
      <w:r w:rsidRPr="00F53530">
        <w:rPr>
          <w:rFonts w:ascii="Times New Roman" w:hAnsi="Times New Roman"/>
        </w:rPr>
        <w:t xml:space="preserve"> </w:t>
      </w:r>
      <w:r w:rsidR="00040448" w:rsidRPr="00F53530">
        <w:rPr>
          <w:rFonts w:ascii="Times New Roman" w:hAnsi="Times New Roman"/>
        </w:rPr>
        <w:t xml:space="preserve">Los contribuyentes, agentes de retención y responsables de los impuestos nacionales, deudores solidarios o garantes, los usuarios aduaneros y del régimen cambiario que decidan acogerse a la terminación por mutuo acuerdo de que trata el presente artículo, podrán suscribir acuerdos de pago, los cuales no podrán exceder el término de doce (12) meses contados a partir de la suscripción del mismo. El plazo máximo de suscripción de los acuerdos de pago será el 30 de junio de 2020. El acuerdo deberá contener las garantías respectivas de conformidad con lo establecido en el artículo 814 del </w:t>
      </w:r>
      <w:r w:rsidR="00580D5E">
        <w:rPr>
          <w:rFonts w:ascii="Times New Roman" w:hAnsi="Times New Roman"/>
        </w:rPr>
        <w:t>*</w:t>
      </w:r>
      <w:r w:rsidR="00040448" w:rsidRPr="00F53530">
        <w:rPr>
          <w:rFonts w:ascii="Times New Roman" w:hAnsi="Times New Roman"/>
        </w:rPr>
        <w:t xml:space="preserve">Estatuto Tributario. 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 En caso de incumplirse el acuerdo de pago, este prestará mérito ejecutivo en los términos del </w:t>
      </w:r>
      <w:r w:rsidR="00580D5E">
        <w:rPr>
          <w:rFonts w:ascii="Times New Roman" w:hAnsi="Times New Roman"/>
        </w:rPr>
        <w:t>*</w:t>
      </w:r>
      <w:r w:rsidR="00040448" w:rsidRPr="00F53530">
        <w:rPr>
          <w:rFonts w:ascii="Times New Roman" w:hAnsi="Times New Roman"/>
        </w:rPr>
        <w:t>Estatuto Tributario por la suma total de la obligación tributaria más el ciento por ciento (100%) de las sanciones e intereses sobre los cuales versa el acuerdo de pago.</w:t>
      </w:r>
    </w:p>
    <w:p w14:paraId="045A3D69" w14:textId="77777777" w:rsidR="00040448" w:rsidRDefault="00280B8A" w:rsidP="00C44821">
      <w:pPr>
        <w:spacing w:before="240" w:after="240" w:line="240" w:lineRule="auto"/>
        <w:jc w:val="both"/>
        <w:rPr>
          <w:rFonts w:ascii="Times New Roman" w:hAnsi="Times New Roman"/>
        </w:rPr>
      </w:pPr>
      <w:r w:rsidRPr="00026C42">
        <w:rPr>
          <w:rFonts w:ascii="Times New Roman" w:hAnsi="Times New Roman"/>
          <w:b/>
          <w:bCs/>
        </w:rPr>
        <w:t>PARÁGRAFO 13.</w:t>
      </w:r>
      <w:r w:rsidRPr="00F53530">
        <w:rPr>
          <w:rFonts w:ascii="Times New Roman" w:hAnsi="Times New Roman"/>
        </w:rPr>
        <w:t xml:space="preserve"> </w:t>
      </w:r>
      <w:r w:rsidR="00040448" w:rsidRPr="00F53530">
        <w:rPr>
          <w:rFonts w:ascii="Times New Roman" w:hAnsi="Times New Roman"/>
        </w:rPr>
        <w:t>Para efectos de lo previsto en este artículo, en materia de sanciones cambiarias, el 50% se aplicará sobre la sanción reducida.</w:t>
      </w:r>
    </w:p>
    <w:p w14:paraId="045A3D6A" w14:textId="77777777" w:rsidR="00805988" w:rsidRPr="00F53530" w:rsidRDefault="00805988" w:rsidP="00C44821">
      <w:pPr>
        <w:spacing w:after="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w:t>
      </w:r>
      <w:r>
        <w:rPr>
          <w:rFonts w:ascii="Times New Roman" w:hAnsi="Times New Roman"/>
          <w:highlight w:val="green"/>
        </w:rPr>
        <w:t xml:space="preserve"> y a la Ley 1437 de 2011</w:t>
      </w:r>
      <w:r w:rsidRPr="008D21E5">
        <w:rPr>
          <w:rFonts w:ascii="Times New Roman" w:hAnsi="Times New Roman"/>
          <w:highlight w:val="green"/>
        </w:rPr>
        <w:t>, le sugerimos remitirse a la publicación de nuestro Grupo Editorial Nueva Legislación “Estatuto Tributario Nacional”</w:t>
      </w:r>
      <w:r>
        <w:rPr>
          <w:rFonts w:ascii="Times New Roman" w:hAnsi="Times New Roman"/>
          <w:highlight w:val="green"/>
        </w:rPr>
        <w:t xml:space="preserve"> y </w:t>
      </w:r>
      <w:r w:rsidRPr="00C92E66">
        <w:rPr>
          <w:rFonts w:ascii="Times New Roman" w:hAnsi="Times New Roman"/>
          <w:highlight w:val="green"/>
        </w:rPr>
        <w:t>“</w:t>
      </w:r>
      <w:r>
        <w:rPr>
          <w:rFonts w:ascii="Times New Roman" w:hAnsi="Times New Roman"/>
          <w:highlight w:val="green"/>
        </w:rPr>
        <w:t>Código de Procedimiento Administrativo y de lo Contencioso Administrativo</w:t>
      </w:r>
      <w:r w:rsidRPr="00EA4B97">
        <w:rPr>
          <w:rFonts w:ascii="Times New Roman" w:hAnsi="Times New Roman"/>
          <w:highlight w:val="green"/>
        </w:rPr>
        <w:t>”.</w:t>
      </w:r>
    </w:p>
    <w:p w14:paraId="045A3D6B" w14:textId="77777777" w:rsidR="00474154" w:rsidRDefault="00474154" w:rsidP="00C44821">
      <w:pPr>
        <w:spacing w:after="0" w:line="240" w:lineRule="auto"/>
        <w:ind w:left="720"/>
        <w:jc w:val="both"/>
        <w:rPr>
          <w:rFonts w:ascii="Times New Roman" w:hAnsi="Times New Roman"/>
          <w:b/>
          <w:highlight w:val="yellow"/>
        </w:rPr>
      </w:pPr>
    </w:p>
    <w:p w14:paraId="045A3D6C" w14:textId="74D98E70" w:rsidR="00E05B0C" w:rsidRPr="00474154" w:rsidRDefault="00E05B0C" w:rsidP="00C44821">
      <w:pPr>
        <w:numPr>
          <w:ilvl w:val="0"/>
          <w:numId w:val="2"/>
        </w:numPr>
        <w:spacing w:after="0" w:line="240" w:lineRule="auto"/>
        <w:jc w:val="both"/>
        <w:rPr>
          <w:rFonts w:ascii="Times New Roman" w:hAnsi="Times New Roman"/>
          <w:b/>
          <w:highlight w:val="yellow"/>
        </w:rPr>
      </w:pPr>
      <w:hyperlink r:id="rId126" w:history="1">
        <w:r w:rsidRPr="00474154">
          <w:rPr>
            <w:rStyle w:val="Hipervnculo"/>
            <w:rFonts w:ascii="Times New Roman" w:hAnsi="Times New Roman"/>
            <w:b/>
            <w:highlight w:val="yellow"/>
          </w:rPr>
          <w:t>Decreto Único Reglamentario 1625 de 11 de octubre de 2016</w:t>
        </w:r>
      </w:hyperlink>
      <w:r w:rsidRPr="00474154">
        <w:rPr>
          <w:rFonts w:ascii="Times New Roman" w:hAnsi="Times New Roman"/>
          <w:b/>
          <w:highlight w:val="yellow"/>
        </w:rPr>
        <w:t xml:space="preserve">: </w:t>
      </w:r>
      <w:r w:rsidR="00474154" w:rsidRPr="00474154">
        <w:rPr>
          <w:rFonts w:ascii="Times New Roman" w:hAnsi="Times New Roman"/>
          <w:highlight w:val="yellow"/>
        </w:rPr>
        <w:t>Arts. 1.6.4.1.1 al 1.6.4.3.8.</w:t>
      </w:r>
    </w:p>
    <w:p w14:paraId="045A3D6D" w14:textId="77777777" w:rsidR="00E05B0C" w:rsidRPr="00474154" w:rsidRDefault="00E05B0C" w:rsidP="00C44821">
      <w:pPr>
        <w:spacing w:after="0" w:line="240" w:lineRule="auto"/>
        <w:jc w:val="both"/>
        <w:rPr>
          <w:rFonts w:ascii="Times New Roman" w:hAnsi="Times New Roman"/>
          <w:b/>
          <w:highlight w:val="yellow"/>
        </w:rPr>
      </w:pPr>
    </w:p>
    <w:p w14:paraId="045A3D6E" w14:textId="77777777" w:rsidR="00024F60" w:rsidRPr="00303AC9" w:rsidRDefault="00024F60" w:rsidP="00C44821">
      <w:pPr>
        <w:spacing w:after="0" w:line="240" w:lineRule="auto"/>
        <w:jc w:val="both"/>
        <w:rPr>
          <w:rFonts w:ascii="Times New Roman" w:hAnsi="Times New Roman"/>
          <w:b/>
          <w:highlight w:val="yellow"/>
        </w:rPr>
      </w:pPr>
      <w:r w:rsidRPr="00303AC9">
        <w:rPr>
          <w:rFonts w:ascii="Times New Roman" w:hAnsi="Times New Roman"/>
          <w:b/>
          <w:highlight w:val="yellow"/>
        </w:rPr>
        <w:t>CONCORDANCIAS:</w:t>
      </w:r>
    </w:p>
    <w:p w14:paraId="045A3D6F" w14:textId="52F7B0AF" w:rsidR="00024F60" w:rsidRDefault="00024F60" w:rsidP="00C44821">
      <w:pPr>
        <w:numPr>
          <w:ilvl w:val="0"/>
          <w:numId w:val="7"/>
        </w:numPr>
        <w:spacing w:after="0" w:line="240" w:lineRule="auto"/>
        <w:jc w:val="both"/>
        <w:rPr>
          <w:rFonts w:ascii="Times New Roman" w:hAnsi="Times New Roman"/>
          <w:b/>
          <w:highlight w:val="yellow"/>
        </w:rPr>
      </w:pPr>
      <w:hyperlink r:id="rId127" w:history="1">
        <w:r w:rsidRPr="00D17C6D">
          <w:rPr>
            <w:rStyle w:val="Hipervnculo"/>
            <w:rFonts w:ascii="Times New Roman" w:hAnsi="Times New Roman"/>
            <w:b/>
            <w:highlight w:val="yellow"/>
          </w:rPr>
          <w:t>Decreto-Ley 688 de 22 de mayo de 2020</w:t>
        </w:r>
      </w:hyperlink>
      <w:r w:rsidRPr="00D17C6D">
        <w:rPr>
          <w:rFonts w:ascii="Times New Roman" w:hAnsi="Times New Roman"/>
          <w:b/>
          <w:highlight w:val="yellow"/>
        </w:rPr>
        <w:t>:</w:t>
      </w:r>
      <w:r w:rsidRPr="00D17C6D">
        <w:rPr>
          <w:rFonts w:ascii="Times New Roman" w:hAnsi="Times New Roman"/>
          <w:highlight w:val="yellow"/>
        </w:rPr>
        <w:t xml:space="preserve"> Por el cual se adoptan medidas tributarias transitorias en el marco del Estado de Emergencia Económica, Social y Ecológica de conformidad con el Decreto 637 de 2020.</w:t>
      </w:r>
    </w:p>
    <w:p w14:paraId="045A3D70" w14:textId="075A07B0" w:rsidR="004851EA" w:rsidRPr="004851EA" w:rsidRDefault="004851EA" w:rsidP="004851EA">
      <w:pPr>
        <w:numPr>
          <w:ilvl w:val="0"/>
          <w:numId w:val="7"/>
        </w:numPr>
        <w:spacing w:after="0" w:line="240" w:lineRule="auto"/>
        <w:jc w:val="both"/>
        <w:rPr>
          <w:rFonts w:ascii="Times New Roman" w:hAnsi="Times New Roman"/>
          <w:b/>
          <w:highlight w:val="yellow"/>
        </w:rPr>
      </w:pPr>
      <w:hyperlink r:id="rId128" w:history="1">
        <w:r w:rsidRPr="004851EA">
          <w:rPr>
            <w:rStyle w:val="Hipervnculo"/>
            <w:rFonts w:ascii="Times New Roman" w:hAnsi="Times New Roman"/>
            <w:b/>
            <w:highlight w:val="yellow"/>
          </w:rPr>
          <w:t>Resolución Unidad Administrativa Especial de Gestión Pensional y Contribuciones Parafiscales de la Protección Social No. 1039 de 4 de diciembre de 2020</w:t>
        </w:r>
      </w:hyperlink>
      <w:r w:rsidRPr="004851EA">
        <w:rPr>
          <w:rFonts w:ascii="Times New Roman" w:hAnsi="Times New Roman"/>
          <w:b/>
          <w:highlight w:val="yellow"/>
        </w:rPr>
        <w:t xml:space="preserve">: </w:t>
      </w:r>
      <w:r w:rsidRPr="004851EA">
        <w:rPr>
          <w:rFonts w:ascii="Times New Roman" w:hAnsi="Times New Roman"/>
          <w:highlight w:val="yellow"/>
        </w:rPr>
        <w:t>Por la cual se reanudan los términos para gestionar los trámites que son de competencia del Comité de Conciliación y Defensa Judicial de la Unidad Administrativa Especial de Gestión Pensional y Contribuciones Parafiscales de la Protección Social (UGPP) relacionados con las solicitudes de Terminación por Mutuo Acuerdo y Conciliación Contenciosa Administrativa en materia de parafiscales.</w:t>
      </w:r>
    </w:p>
    <w:p w14:paraId="045A3D71" w14:textId="4261C59E" w:rsidR="00024F60" w:rsidRPr="00C80A41" w:rsidRDefault="00024F60" w:rsidP="00C44821">
      <w:pPr>
        <w:numPr>
          <w:ilvl w:val="0"/>
          <w:numId w:val="7"/>
        </w:numPr>
        <w:spacing w:after="0" w:line="240" w:lineRule="auto"/>
        <w:jc w:val="both"/>
        <w:rPr>
          <w:rFonts w:ascii="Times New Roman" w:hAnsi="Times New Roman"/>
          <w:b/>
          <w:highlight w:val="yellow"/>
        </w:rPr>
      </w:pPr>
      <w:hyperlink r:id="rId129" w:history="1">
        <w:r w:rsidRPr="00C80A41">
          <w:rPr>
            <w:rStyle w:val="Hipervnculo"/>
            <w:rFonts w:ascii="Times New Roman" w:hAnsi="Times New Roman"/>
            <w:b/>
            <w:highlight w:val="yellow"/>
          </w:rPr>
          <w:t>Resolución DIAN No. 86 de 25 de agosto de 2020</w:t>
        </w:r>
      </w:hyperlink>
      <w:r w:rsidRPr="00C80A41">
        <w:rPr>
          <w:rFonts w:ascii="Times New Roman" w:hAnsi="Times New Roman"/>
          <w:b/>
          <w:highlight w:val="yellow"/>
        </w:rPr>
        <w:t>:</w:t>
      </w:r>
      <w:r w:rsidRPr="00C80A41">
        <w:rPr>
          <w:rFonts w:ascii="Times New Roman" w:hAnsi="Times New Roman"/>
          <w:highlight w:val="yellow"/>
        </w:rPr>
        <w:t xml:space="preserve"> Por la cual se crean los Comités Especiales de Conciliación y Terminación por Mutuo Acuerdo en las Direcciones Seccionales de Impuestos, de Impuestos y Aduanas y de Aduanas y se establece el trámite interno de las solicitudes de conciliación y terminación por mutuo acuerdo de que tratan los artículos 118 y 119 de la Ley 2010 de 2019.</w:t>
      </w:r>
    </w:p>
    <w:p w14:paraId="045A3D72" w14:textId="77777777" w:rsidR="00B37730" w:rsidRPr="008D36C3" w:rsidRDefault="00B37730" w:rsidP="00C44821">
      <w:pPr>
        <w:spacing w:after="0" w:line="240" w:lineRule="auto"/>
        <w:jc w:val="both"/>
        <w:rPr>
          <w:rFonts w:ascii="Times New Roman" w:hAnsi="Times New Roman"/>
          <w:b/>
          <w:bCs/>
          <w:highlight w:val="lightGray"/>
        </w:rPr>
      </w:pPr>
    </w:p>
    <w:p w14:paraId="045A3D73" w14:textId="77777777" w:rsidR="00163A67" w:rsidRPr="008D36C3" w:rsidRDefault="00163A67" w:rsidP="00C44821">
      <w:pPr>
        <w:spacing w:after="0" w:line="240" w:lineRule="auto"/>
        <w:jc w:val="both"/>
        <w:rPr>
          <w:rFonts w:ascii="Times New Roman" w:hAnsi="Times New Roman"/>
          <w:b/>
          <w:bCs/>
          <w:highlight w:val="lightGray"/>
        </w:rPr>
      </w:pPr>
      <w:r w:rsidRPr="008D36C3">
        <w:rPr>
          <w:rFonts w:ascii="Times New Roman" w:hAnsi="Times New Roman"/>
          <w:b/>
          <w:bCs/>
          <w:highlight w:val="lightGray"/>
        </w:rPr>
        <w:t>DOCTRINA:</w:t>
      </w:r>
    </w:p>
    <w:p w14:paraId="045A3D74" w14:textId="6FF6214B" w:rsidR="00F16590" w:rsidRPr="008D36C3" w:rsidRDefault="00F16590" w:rsidP="00F16590">
      <w:pPr>
        <w:numPr>
          <w:ilvl w:val="0"/>
          <w:numId w:val="2"/>
        </w:numPr>
        <w:spacing w:after="0" w:line="240" w:lineRule="auto"/>
        <w:jc w:val="both"/>
        <w:rPr>
          <w:rFonts w:ascii="Times New Roman" w:hAnsi="Times New Roman"/>
          <w:b/>
          <w:bCs/>
          <w:highlight w:val="lightGray"/>
        </w:rPr>
      </w:pPr>
      <w:hyperlink r:id="rId130" w:history="1">
        <w:r w:rsidRPr="008D36C3">
          <w:rPr>
            <w:rStyle w:val="Hipervnculo"/>
            <w:rFonts w:ascii="Times New Roman" w:hAnsi="Times New Roman"/>
            <w:b/>
            <w:bCs/>
            <w:highlight w:val="lightGray"/>
          </w:rPr>
          <w:t>CONCEPTO 900827 DE 3 DE FEBRERO DE 2021</w:t>
        </w:r>
      </w:hyperlink>
      <w:r w:rsidRPr="008D36C3">
        <w:rPr>
          <w:rFonts w:ascii="Times New Roman" w:hAnsi="Times New Roman"/>
          <w:b/>
          <w:bCs/>
          <w:highlight w:val="lightGray"/>
        </w:rPr>
        <w:t xml:space="preserve">. DIAN. </w:t>
      </w:r>
      <w:r w:rsidRPr="008D36C3">
        <w:rPr>
          <w:rFonts w:ascii="Times New Roman" w:hAnsi="Times New Roman"/>
          <w:bCs/>
          <w:i/>
          <w:highlight w:val="lightGray"/>
        </w:rPr>
        <w:t>Las solicitudes de conciliación y de terminación por mutuo acuerdo y favorabilidad tributaria, debieron atender al plazo establecido en el artículo 3 del Decreto Legislativo 688 de 2020.</w:t>
      </w:r>
    </w:p>
    <w:p w14:paraId="045A3D75" w14:textId="77777777" w:rsidR="00F16590" w:rsidRPr="008D36C3" w:rsidRDefault="00F16590" w:rsidP="00F16590">
      <w:pPr>
        <w:spacing w:after="0" w:line="240" w:lineRule="auto"/>
        <w:ind w:left="720"/>
        <w:jc w:val="both"/>
        <w:rPr>
          <w:rFonts w:ascii="Times New Roman" w:hAnsi="Times New Roman"/>
          <w:b/>
          <w:bCs/>
          <w:highlight w:val="lightGray"/>
        </w:rPr>
      </w:pPr>
    </w:p>
    <w:p w14:paraId="045A3D76" w14:textId="025C3417" w:rsidR="00163A67" w:rsidRPr="008D36C3" w:rsidRDefault="00163A67" w:rsidP="00C44821">
      <w:pPr>
        <w:numPr>
          <w:ilvl w:val="0"/>
          <w:numId w:val="2"/>
        </w:numPr>
        <w:spacing w:after="0" w:line="240" w:lineRule="auto"/>
        <w:jc w:val="both"/>
        <w:rPr>
          <w:rFonts w:ascii="Times New Roman" w:hAnsi="Times New Roman"/>
          <w:b/>
          <w:bCs/>
          <w:highlight w:val="lightGray"/>
        </w:rPr>
      </w:pPr>
      <w:hyperlink r:id="rId131" w:history="1">
        <w:r w:rsidRPr="008D36C3">
          <w:rPr>
            <w:rStyle w:val="Hipervnculo"/>
            <w:rFonts w:ascii="Times New Roman" w:hAnsi="Times New Roman"/>
            <w:b/>
            <w:bCs/>
            <w:highlight w:val="lightGray"/>
          </w:rPr>
          <w:t>CONCEPTO 100208221-000091 DE 29 DE ENERO DE 2020</w:t>
        </w:r>
      </w:hyperlink>
      <w:r w:rsidRPr="008D36C3">
        <w:rPr>
          <w:rFonts w:ascii="Times New Roman" w:hAnsi="Times New Roman"/>
          <w:b/>
          <w:bCs/>
          <w:highlight w:val="lightGray"/>
        </w:rPr>
        <w:t xml:space="preserve">. DIAN. </w:t>
      </w:r>
      <w:r w:rsidRPr="008D36C3">
        <w:rPr>
          <w:rFonts w:ascii="Times New Roman" w:hAnsi="Times New Roman"/>
          <w:bCs/>
          <w:i/>
          <w:highlight w:val="lightGray"/>
        </w:rPr>
        <w:t>Conciliación Contencioso - Administrativa en materia tributaria, aduanera y cambiaria. Terminación por mutuo acuerdo de los procesos administrativos tributarios, aduaneros y cambiarios. Principio de favorabilidad en etapa de cobro garantías.</w:t>
      </w:r>
    </w:p>
    <w:p w14:paraId="045A3D77" w14:textId="77777777" w:rsidR="003B753D" w:rsidRDefault="003B753D" w:rsidP="003B753D">
      <w:pPr>
        <w:spacing w:after="0" w:line="240" w:lineRule="auto"/>
        <w:rPr>
          <w:rFonts w:ascii="Times New Roman" w:hAnsi="Times New Roman"/>
          <w:b/>
          <w:highlight w:val="cyan"/>
        </w:rPr>
      </w:pPr>
    </w:p>
    <w:p w14:paraId="045A3D78" w14:textId="77777777" w:rsidR="003B753D" w:rsidRPr="000F43A1" w:rsidRDefault="003B753D" w:rsidP="003B753D">
      <w:pPr>
        <w:spacing w:after="0" w:line="240" w:lineRule="auto"/>
        <w:rPr>
          <w:rFonts w:ascii="Times New Roman" w:hAnsi="Times New Roman"/>
          <w:b/>
          <w:highlight w:val="cyan"/>
        </w:rPr>
      </w:pPr>
      <w:r w:rsidRPr="000F43A1">
        <w:rPr>
          <w:rFonts w:ascii="Times New Roman" w:hAnsi="Times New Roman"/>
          <w:b/>
          <w:highlight w:val="cyan"/>
        </w:rPr>
        <w:t>JURISPRUDENCIA:</w:t>
      </w:r>
    </w:p>
    <w:p w14:paraId="045A3D79" w14:textId="2A008D97" w:rsidR="003B753D" w:rsidRPr="000515C6" w:rsidRDefault="003B753D" w:rsidP="003B753D">
      <w:pPr>
        <w:numPr>
          <w:ilvl w:val="0"/>
          <w:numId w:val="19"/>
        </w:numPr>
        <w:spacing w:after="0" w:line="240" w:lineRule="auto"/>
        <w:jc w:val="both"/>
        <w:rPr>
          <w:rFonts w:ascii="Times New Roman" w:hAnsi="Times New Roman"/>
          <w:b/>
          <w:bCs/>
          <w:highlight w:val="cyan"/>
          <w:lang w:eastAsia="es-CO"/>
        </w:rPr>
      </w:pPr>
      <w:hyperlink r:id="rId132" w:history="1">
        <w:r w:rsidRPr="000515C6">
          <w:rPr>
            <w:rStyle w:val="Hipervnculo"/>
            <w:rFonts w:ascii="Times New Roman" w:hAnsi="Times New Roman"/>
            <w:b/>
            <w:bCs/>
            <w:highlight w:val="cyan"/>
            <w:lang w:eastAsia="es-CO"/>
          </w:rPr>
          <w:t>EXPEDIENTE 05764-00 (PI) DE 14 DE DICIEMBRE DE 2021</w:t>
        </w:r>
      </w:hyperlink>
      <w:r w:rsidRPr="000515C6">
        <w:rPr>
          <w:rFonts w:ascii="Times New Roman" w:hAnsi="Times New Roman"/>
          <w:b/>
          <w:bCs/>
          <w:highlight w:val="cyan"/>
          <w:lang w:eastAsia="es-CO"/>
        </w:rPr>
        <w:t>. CONSEJO DE ESTADO. C. P. DR. GABRIEL VALBUENA HERNÁNDEZ.</w:t>
      </w:r>
      <w:r w:rsidRPr="000515C6">
        <w:rPr>
          <w:rFonts w:ascii="Times New Roman" w:hAnsi="Times New Roman"/>
          <w:highlight w:val="cyan"/>
        </w:rPr>
        <w:t xml:space="preserve"> </w:t>
      </w:r>
      <w:r w:rsidRPr="000515C6">
        <w:rPr>
          <w:rFonts w:ascii="Times New Roman" w:hAnsi="Times New Roman"/>
          <w:bCs/>
          <w:i/>
          <w:highlight w:val="cyan"/>
          <w:lang w:eastAsia="es-CO"/>
        </w:rPr>
        <w:t>Los beneficios tributarios previstos en la Ley 2010 de 2019 son de alcance general, por lo que no resulta válido afirmar que, con su aplicación, los congresistas, sus familiares cercanos y sus socios obtendrían un beneficio, privilegio o ganancia en su favor de las que no gozarían los demás ciudadanos que cumplan los requisitos previstos en la citada disposición.</w:t>
      </w:r>
    </w:p>
    <w:p w14:paraId="045A3D7A" w14:textId="77777777" w:rsidR="00040448" w:rsidRPr="00F53530" w:rsidRDefault="00040448" w:rsidP="00C44821">
      <w:pPr>
        <w:spacing w:before="240" w:after="240" w:line="240" w:lineRule="auto"/>
        <w:jc w:val="both"/>
        <w:rPr>
          <w:rFonts w:ascii="Times New Roman" w:hAnsi="Times New Roman"/>
        </w:rPr>
      </w:pPr>
      <w:r w:rsidRPr="00026C42">
        <w:rPr>
          <w:rFonts w:ascii="Times New Roman" w:hAnsi="Times New Roman"/>
          <w:b/>
          <w:bCs/>
        </w:rPr>
        <w:t>ARTÍCULO 120. PRINCIPIO DE FAVORABILIDAD EN ETAPA DE COBRO.</w:t>
      </w:r>
      <w:r w:rsidR="00026C42">
        <w:rPr>
          <w:rFonts w:ascii="Times New Roman" w:hAnsi="Times New Roman"/>
          <w:b/>
          <w:bCs/>
        </w:rPr>
        <w:t xml:space="preserve"> </w:t>
      </w:r>
      <w:r w:rsidRPr="00F53530">
        <w:rPr>
          <w:rFonts w:ascii="Times New Roman" w:hAnsi="Times New Roman"/>
        </w:rPr>
        <w:t xml:space="preserve">Facúltese a la Dirección de Impuestos y Aduanas Nacionales (DIAN) para aplicar el principio de favorabilidad de que trata el parágrafo 5 del artículo 640 del </w:t>
      </w:r>
      <w:r w:rsidR="00633034">
        <w:rPr>
          <w:rFonts w:ascii="Times New Roman" w:hAnsi="Times New Roman"/>
        </w:rPr>
        <w:t>*</w:t>
      </w:r>
      <w:r w:rsidRPr="00F53530">
        <w:rPr>
          <w:rFonts w:ascii="Times New Roman" w:hAnsi="Times New Roman"/>
        </w:rPr>
        <w:t>Estatuto Tributario dentro del proceso de cobro a solicitud del contribuyente, responsable, declarante, agente retenedor, deudor solidario, deudor subsidiario o garante, de acuerdo con los siguientes términos y condiciones:</w:t>
      </w:r>
    </w:p>
    <w:p w14:paraId="045A3D7B"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El contribuyente, declarante, agente retenedor, responsable, deudor solidario, deudor subsidiario o garante que, a la entrada en vigencia de la presente ley, tenga obligaciones fiscales a cargo, que presten mérito ejecutivo conforme lo establece el artículo 828 del </w:t>
      </w:r>
      <w:r w:rsidR="00633034">
        <w:rPr>
          <w:rFonts w:ascii="Times New Roman" w:hAnsi="Times New Roman"/>
        </w:rPr>
        <w:t>*</w:t>
      </w:r>
      <w:r w:rsidRPr="00F53530">
        <w:rPr>
          <w:rFonts w:ascii="Times New Roman" w:hAnsi="Times New Roman"/>
        </w:rPr>
        <w:t>Estatuto Tributario, podrá solicitar ante el área de cobro respectiva de la Dirección de Impuestos y Aduanas Nacionales (DIAN), la aplicación del principio de favorabilidad en materia sancionatoria.</w:t>
      </w:r>
    </w:p>
    <w:p w14:paraId="045A3D7C" w14:textId="2BD70620"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lastRenderedPageBreak/>
        <w:t xml:space="preserve">La reducción de sanciones de que trata esta disposición aplicará respecto de todas las sanciones tributarias que fueron reducidas mediante la </w:t>
      </w:r>
      <w:hyperlink r:id="rId133" w:history="1">
        <w:r w:rsidRPr="00713466">
          <w:rPr>
            <w:rStyle w:val="Hipervnculo"/>
            <w:rFonts w:ascii="Times New Roman" w:hAnsi="Times New Roman"/>
          </w:rPr>
          <w:t>Ley 1819 de 2016</w:t>
        </w:r>
      </w:hyperlink>
      <w:r w:rsidRPr="00F53530">
        <w:rPr>
          <w:rFonts w:ascii="Times New Roman" w:hAnsi="Times New Roman"/>
        </w:rPr>
        <w:t>.</w:t>
      </w:r>
    </w:p>
    <w:p w14:paraId="045A3D7D" w14:textId="2209EF04"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Para el efecto el contribuyente, declarante, agente retenedor, responsable, deudor solidario, deudor subsidiario o garante deberá pagar la totalidad del tributo a cargo e intereses a que haya lugar, con el pago de la respectiva sanción reducida por la </w:t>
      </w:r>
      <w:hyperlink r:id="rId134" w:history="1">
        <w:r w:rsidRPr="00713466">
          <w:rPr>
            <w:rStyle w:val="Hipervnculo"/>
            <w:rFonts w:ascii="Times New Roman" w:hAnsi="Times New Roman"/>
          </w:rPr>
          <w:t>Ley 1819 de 2016</w:t>
        </w:r>
      </w:hyperlink>
      <w:r w:rsidRPr="00F53530">
        <w:rPr>
          <w:rFonts w:ascii="Times New Roman" w:hAnsi="Times New Roman"/>
        </w:rPr>
        <w:t xml:space="preserve">. Al momento del pago de la sanción reducida, esta debe de estar actualizada de conformidad con lo establecido en el artículo 867-1 del </w:t>
      </w:r>
      <w:r w:rsidR="00633034">
        <w:rPr>
          <w:rFonts w:ascii="Times New Roman" w:hAnsi="Times New Roman"/>
        </w:rPr>
        <w:t>*</w:t>
      </w:r>
      <w:r w:rsidRPr="00F53530">
        <w:rPr>
          <w:rFonts w:ascii="Times New Roman" w:hAnsi="Times New Roman"/>
        </w:rPr>
        <w:t>Estatuto Tributario.</w:t>
      </w:r>
    </w:p>
    <w:p w14:paraId="045A3D7E" w14:textId="393E8A58"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En el caso de resoluciones que imponen exclusivamente sanción, en las que no hubiere tributos en discusión, para la aplicación del principio de favorabilidad el contribuyente, declarante, agente retenedor, responsable, deudor solidario, deudor subsidiario o garante deberá pagar la sanción actualizada conforme las reducciones que fueron establecidas en la </w:t>
      </w:r>
      <w:hyperlink r:id="rId135" w:history="1">
        <w:r w:rsidRPr="00713466">
          <w:rPr>
            <w:rStyle w:val="Hipervnculo"/>
            <w:rFonts w:ascii="Times New Roman" w:hAnsi="Times New Roman"/>
          </w:rPr>
          <w:t>Ley 1819 de 2016</w:t>
        </w:r>
      </w:hyperlink>
      <w:r w:rsidRPr="00F53530">
        <w:rPr>
          <w:rFonts w:ascii="Times New Roman" w:hAnsi="Times New Roman"/>
        </w:rPr>
        <w:t>.</w:t>
      </w:r>
    </w:p>
    <w:p w14:paraId="045A3D7F"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En el caso de actos administrativos que impongan sanciones por concepto de devoluciones o compensaciones improcedentes, el principio de favorabilidad aplicará siempre y cuando se reintegren las sumas devueltas o compensadas en exceso y sus respectivos intereses, más el pago de la sanción reducida debidamente actualizada.</w:t>
      </w:r>
    </w:p>
    <w:p w14:paraId="045A3D80"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La solicitud de aplicación del principio de favorabilidad en etapa de cobro deberá ser realizada a más tardar el 30 de junio de 2020. La Dirección de Impuestos y Aduanas Nacionales (DIAN) deberá resolver la solicitud en un término de un (1) mes contado a partir del día de su interposición. Contra el acto que rechace la solicitud de aplicación del principio de favorabilidad procede el recurso de reposición y en subsidio el de apelación.</w:t>
      </w:r>
    </w:p>
    <w:p w14:paraId="045A3D81"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La reducción de sanciones tributarias en virtud del principio de favorabilidad a que hace referencia este artículo, podrá aplicarse únicamente respecto de los pagos realizados desde la fecha de publicación de esta ley.</w:t>
      </w:r>
    </w:p>
    <w:p w14:paraId="045A3D82" w14:textId="77777777" w:rsidR="00040448" w:rsidRPr="00F53530" w:rsidRDefault="00280B8A" w:rsidP="00C44821">
      <w:pPr>
        <w:spacing w:before="240" w:after="240" w:line="240" w:lineRule="auto"/>
        <w:jc w:val="both"/>
        <w:rPr>
          <w:rFonts w:ascii="Times New Roman" w:hAnsi="Times New Roman"/>
        </w:rPr>
      </w:pPr>
      <w:r w:rsidRPr="00FD12DF">
        <w:rPr>
          <w:rFonts w:ascii="Times New Roman" w:hAnsi="Times New Roman"/>
          <w:b/>
          <w:bCs/>
        </w:rPr>
        <w:t>PARÁGRAFO 1.</w:t>
      </w:r>
      <w:r w:rsidR="00A03C6F" w:rsidRPr="00F53530">
        <w:rPr>
          <w:rFonts w:ascii="Times New Roman" w:hAnsi="Times New Roman"/>
        </w:rPr>
        <w:t xml:space="preserve"> </w:t>
      </w:r>
      <w:r w:rsidR="00040448" w:rsidRPr="00F53530">
        <w:rPr>
          <w:rFonts w:ascii="Times New Roman" w:hAnsi="Times New Roman"/>
        </w:rPr>
        <w:t>Facúltese a los entes territoriales para aplicar el principio de favorabilidad en etapa de cobro de conformidad con lo previsto en este artículo, de acuerdo con su competencia.</w:t>
      </w:r>
    </w:p>
    <w:p w14:paraId="045A3D83" w14:textId="77777777" w:rsidR="00040448" w:rsidRPr="00F53530" w:rsidRDefault="00280B8A" w:rsidP="00C44821">
      <w:pPr>
        <w:spacing w:before="240" w:after="240" w:line="240" w:lineRule="auto"/>
        <w:jc w:val="both"/>
        <w:rPr>
          <w:rFonts w:ascii="Times New Roman" w:hAnsi="Times New Roman"/>
        </w:rPr>
      </w:pPr>
      <w:r w:rsidRPr="00FD12DF">
        <w:rPr>
          <w:rFonts w:ascii="Times New Roman" w:hAnsi="Times New Roman"/>
          <w:b/>
          <w:bCs/>
        </w:rPr>
        <w:t>PARÁGRAFO 2.</w:t>
      </w:r>
      <w:r w:rsidRPr="00F53530">
        <w:rPr>
          <w:rFonts w:ascii="Times New Roman" w:hAnsi="Times New Roman"/>
        </w:rPr>
        <w:t xml:space="preserve"> </w:t>
      </w:r>
      <w:r w:rsidR="00040448" w:rsidRPr="00F53530">
        <w:rPr>
          <w:rFonts w:ascii="Times New Roman" w:hAnsi="Times New Roman"/>
        </w:rPr>
        <w:t>En desarrollo del principio de favorabilidad y dentro del plazo máximo establecido en este artículo, el contribuyente, declarante, agente retenedor, responsable, deudor solidario, deudor subsidiario o garante que, a la entrada en vigencia de la presente ley, tenga obligaciones fiscales a cargo, pagará el interés bancario corriente, certificado por la Superintendencia Financiera de Colombia, para la modalidad de créditos de consumo y ordinario, más dos (2) puntos porcentuales.</w:t>
      </w:r>
    </w:p>
    <w:p w14:paraId="045A3D84" w14:textId="77777777" w:rsidR="00040448" w:rsidRDefault="00280B8A" w:rsidP="00C44821">
      <w:pPr>
        <w:spacing w:before="240" w:after="240" w:line="240" w:lineRule="auto"/>
        <w:jc w:val="both"/>
        <w:rPr>
          <w:rFonts w:ascii="Times New Roman" w:hAnsi="Times New Roman"/>
        </w:rPr>
      </w:pPr>
      <w:r w:rsidRPr="00FD12DF">
        <w:rPr>
          <w:rFonts w:ascii="Times New Roman" w:hAnsi="Times New Roman"/>
          <w:b/>
          <w:bCs/>
        </w:rPr>
        <w:t>PARÁGRAFO 3.</w:t>
      </w:r>
      <w:r w:rsidRPr="00F53530">
        <w:rPr>
          <w:rFonts w:ascii="Times New Roman" w:hAnsi="Times New Roman"/>
        </w:rPr>
        <w:t xml:space="preserve"> </w:t>
      </w:r>
      <w:r w:rsidR="00040448" w:rsidRPr="00F53530">
        <w:rPr>
          <w:rFonts w:ascii="Times New Roman" w:hAnsi="Times New Roman"/>
        </w:rPr>
        <w:t xml:space="preserve">El contribuyente, declarante, agente retenedor, responsable, deudor solidario, deudor subsidiario o garante que solicite la aplicación del principio de favorabilidad en los términos previstos en este artículo, podrá suscribir acuerdos de pago, los cuales no podrán exceder el término de doce (12) meses contados a partir de la suscripción del mismo. El plazo máximo de suscripción de los acuerdos de pago será el 30 de junio de 2020. El acuerdo deberá contener las garantías respectivas de conformidad con lo establecido en el artículo 814 del </w:t>
      </w:r>
      <w:r w:rsidR="00633034">
        <w:rPr>
          <w:rFonts w:ascii="Times New Roman" w:hAnsi="Times New Roman"/>
        </w:rPr>
        <w:t>*</w:t>
      </w:r>
      <w:r w:rsidR="00040448" w:rsidRPr="00F53530">
        <w:rPr>
          <w:rFonts w:ascii="Times New Roman" w:hAnsi="Times New Roman"/>
        </w:rPr>
        <w:t xml:space="preserve">Estatuto Tributario. 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 En caso de incumplirse el acuerdo de pago, este prestará mérito ejecutivo en los términos del </w:t>
      </w:r>
      <w:r w:rsidR="00633034">
        <w:rPr>
          <w:rFonts w:ascii="Times New Roman" w:hAnsi="Times New Roman"/>
        </w:rPr>
        <w:t>*</w:t>
      </w:r>
      <w:r w:rsidR="00040448" w:rsidRPr="00F53530">
        <w:rPr>
          <w:rFonts w:ascii="Times New Roman" w:hAnsi="Times New Roman"/>
        </w:rPr>
        <w:t>Estatuto Tributario por la suma total de la obligación tributaria más el ciento por ciento (100%) de las sanciones e intereses sobre los cuales versa el acuerdo de pago.</w:t>
      </w:r>
    </w:p>
    <w:p w14:paraId="045A3D85" w14:textId="77777777" w:rsidR="00633034" w:rsidRPr="00F53530" w:rsidRDefault="00633034" w:rsidP="00C44821">
      <w:pPr>
        <w:spacing w:before="240" w:after="240" w:line="240" w:lineRule="auto"/>
        <w:jc w:val="both"/>
        <w:rPr>
          <w:rFonts w:ascii="Times New Roman" w:hAnsi="Times New Roman"/>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D86" w14:textId="04324FAF" w:rsidR="00474154" w:rsidRPr="00474154" w:rsidRDefault="00474154" w:rsidP="00C44821">
      <w:pPr>
        <w:widowControl w:val="0"/>
        <w:numPr>
          <w:ilvl w:val="0"/>
          <w:numId w:val="4"/>
        </w:numPr>
        <w:autoSpaceDE w:val="0"/>
        <w:autoSpaceDN w:val="0"/>
        <w:adjustRightInd w:val="0"/>
        <w:spacing w:after="0" w:line="240" w:lineRule="auto"/>
        <w:ind w:right="15"/>
        <w:jc w:val="both"/>
        <w:rPr>
          <w:rFonts w:ascii="Times New Roman" w:hAnsi="Times New Roman"/>
          <w:highlight w:val="yellow"/>
          <w:lang w:val="es-ES"/>
        </w:rPr>
      </w:pPr>
      <w:hyperlink r:id="rId136" w:history="1">
        <w:r w:rsidRPr="00474154">
          <w:rPr>
            <w:rStyle w:val="Hipervnculo"/>
            <w:rFonts w:ascii="Times New Roman" w:hAnsi="Times New Roman"/>
            <w:b/>
            <w:highlight w:val="yellow"/>
            <w:lang w:val="es-ES"/>
          </w:rPr>
          <w:t>Decreto Único Reglamentario 1625 de 11 de octubre de 2016</w:t>
        </w:r>
      </w:hyperlink>
      <w:r w:rsidRPr="00474154">
        <w:rPr>
          <w:rFonts w:ascii="Times New Roman" w:hAnsi="Times New Roman"/>
          <w:b/>
          <w:highlight w:val="yellow"/>
          <w:lang w:val="es-ES"/>
        </w:rPr>
        <w:t xml:space="preserve">: </w:t>
      </w:r>
      <w:r w:rsidRPr="00474154">
        <w:rPr>
          <w:rFonts w:ascii="Times New Roman" w:hAnsi="Times New Roman"/>
          <w:highlight w:val="yellow"/>
          <w:lang w:val="es-ES"/>
        </w:rPr>
        <w:t xml:space="preserve">Arts. </w:t>
      </w:r>
      <w:r w:rsidRPr="00474154">
        <w:rPr>
          <w:rFonts w:ascii="Times New Roman" w:hAnsi="Times New Roman"/>
          <w:highlight w:val="yellow"/>
        </w:rPr>
        <w:t>1.6.2.8.5 al 1.6.2.8.</w:t>
      </w:r>
      <w:r>
        <w:rPr>
          <w:rFonts w:ascii="Times New Roman" w:hAnsi="Times New Roman"/>
          <w:highlight w:val="yellow"/>
        </w:rPr>
        <w:t>9</w:t>
      </w:r>
      <w:r w:rsidRPr="00474154">
        <w:rPr>
          <w:rFonts w:ascii="Times New Roman" w:hAnsi="Times New Roman"/>
          <w:highlight w:val="yellow"/>
        </w:rPr>
        <w:t>.</w:t>
      </w:r>
    </w:p>
    <w:p w14:paraId="045A3D87" w14:textId="77777777" w:rsidR="00474154" w:rsidRDefault="00474154" w:rsidP="00C44821">
      <w:pPr>
        <w:spacing w:after="0" w:line="240" w:lineRule="auto"/>
        <w:jc w:val="both"/>
        <w:rPr>
          <w:rFonts w:ascii="Times New Roman" w:hAnsi="Times New Roman"/>
          <w:b/>
          <w:highlight w:val="yellow"/>
        </w:rPr>
      </w:pPr>
    </w:p>
    <w:p w14:paraId="045A3D88" w14:textId="77777777" w:rsidR="00B37730" w:rsidRPr="00303AC9" w:rsidRDefault="00B37730" w:rsidP="00C44821">
      <w:pPr>
        <w:spacing w:after="0" w:line="240" w:lineRule="auto"/>
        <w:jc w:val="both"/>
        <w:rPr>
          <w:rFonts w:ascii="Times New Roman" w:hAnsi="Times New Roman"/>
          <w:b/>
          <w:highlight w:val="yellow"/>
        </w:rPr>
      </w:pPr>
      <w:r w:rsidRPr="00303AC9">
        <w:rPr>
          <w:rFonts w:ascii="Times New Roman" w:hAnsi="Times New Roman"/>
          <w:b/>
          <w:highlight w:val="yellow"/>
        </w:rPr>
        <w:t>CONCORDANCIAS:</w:t>
      </w:r>
    </w:p>
    <w:p w14:paraId="045A3D89" w14:textId="619A91CA" w:rsidR="00B37730" w:rsidRPr="00D17C6D" w:rsidRDefault="00B37730" w:rsidP="00C44821">
      <w:pPr>
        <w:numPr>
          <w:ilvl w:val="0"/>
          <w:numId w:val="7"/>
        </w:numPr>
        <w:spacing w:after="0" w:line="240" w:lineRule="auto"/>
        <w:jc w:val="both"/>
        <w:rPr>
          <w:rFonts w:ascii="Times New Roman" w:hAnsi="Times New Roman"/>
          <w:b/>
          <w:highlight w:val="yellow"/>
        </w:rPr>
      </w:pPr>
      <w:hyperlink r:id="rId137" w:history="1">
        <w:r w:rsidRPr="00D17C6D">
          <w:rPr>
            <w:rStyle w:val="Hipervnculo"/>
            <w:rFonts w:ascii="Times New Roman" w:hAnsi="Times New Roman"/>
            <w:b/>
            <w:highlight w:val="yellow"/>
          </w:rPr>
          <w:t>Decreto-Ley 688 de 22 de mayo de 2020</w:t>
        </w:r>
      </w:hyperlink>
      <w:r w:rsidRPr="00D17C6D">
        <w:rPr>
          <w:rFonts w:ascii="Times New Roman" w:hAnsi="Times New Roman"/>
          <w:b/>
          <w:highlight w:val="yellow"/>
        </w:rPr>
        <w:t>:</w:t>
      </w:r>
      <w:r w:rsidRPr="00D17C6D">
        <w:rPr>
          <w:rFonts w:ascii="Times New Roman" w:hAnsi="Times New Roman"/>
          <w:highlight w:val="yellow"/>
        </w:rPr>
        <w:t xml:space="preserve"> Por el cual se adoptan medidas tributarias transitorias en el marco del Estado de Emergencia Económica, Social y Ecológica de conformidad con el Decreto 637 de 2020.</w:t>
      </w:r>
    </w:p>
    <w:p w14:paraId="045A3D8A" w14:textId="77777777" w:rsidR="00B37730" w:rsidRPr="008D36C3" w:rsidRDefault="00B37730" w:rsidP="00C44821">
      <w:pPr>
        <w:spacing w:after="0" w:line="240" w:lineRule="auto"/>
        <w:jc w:val="both"/>
        <w:rPr>
          <w:rFonts w:ascii="Times New Roman" w:hAnsi="Times New Roman"/>
          <w:b/>
          <w:bCs/>
          <w:highlight w:val="lightGray"/>
        </w:rPr>
      </w:pPr>
    </w:p>
    <w:p w14:paraId="045A3D8B" w14:textId="77777777" w:rsidR="00F16590" w:rsidRPr="008D36C3" w:rsidRDefault="00F16590" w:rsidP="00F16590">
      <w:pPr>
        <w:spacing w:after="0" w:line="240" w:lineRule="auto"/>
        <w:jc w:val="both"/>
        <w:rPr>
          <w:rFonts w:ascii="Times New Roman" w:hAnsi="Times New Roman"/>
          <w:b/>
          <w:bCs/>
          <w:highlight w:val="lightGray"/>
        </w:rPr>
      </w:pPr>
      <w:r w:rsidRPr="008D36C3">
        <w:rPr>
          <w:rFonts w:ascii="Times New Roman" w:hAnsi="Times New Roman"/>
          <w:b/>
          <w:bCs/>
          <w:highlight w:val="lightGray"/>
        </w:rPr>
        <w:t>DOCTRINA:</w:t>
      </w:r>
    </w:p>
    <w:p w14:paraId="045A3D8C" w14:textId="245A97B1" w:rsidR="002807A7" w:rsidRPr="008D36C3" w:rsidRDefault="002807A7" w:rsidP="002807A7">
      <w:pPr>
        <w:numPr>
          <w:ilvl w:val="0"/>
          <w:numId w:val="2"/>
        </w:numPr>
        <w:spacing w:after="0" w:line="240" w:lineRule="auto"/>
        <w:jc w:val="both"/>
        <w:rPr>
          <w:rFonts w:ascii="Times New Roman" w:hAnsi="Times New Roman"/>
          <w:b/>
          <w:highlight w:val="lightGray"/>
        </w:rPr>
      </w:pPr>
      <w:hyperlink r:id="rId138" w:history="1">
        <w:r w:rsidRPr="008D36C3">
          <w:rPr>
            <w:rStyle w:val="Hipervnculo"/>
            <w:rFonts w:ascii="Times New Roman" w:hAnsi="Times New Roman"/>
            <w:b/>
            <w:highlight w:val="lightGray"/>
          </w:rPr>
          <w:t>CONCEPTO GENERAL 2023001328 DE 7 DE FEBRERO DE 2022</w:t>
        </w:r>
      </w:hyperlink>
      <w:r w:rsidRPr="008D36C3">
        <w:rPr>
          <w:rFonts w:ascii="Times New Roman" w:hAnsi="Times New Roman"/>
          <w:b/>
          <w:highlight w:val="lightGray"/>
        </w:rPr>
        <w:t xml:space="preserve">. DIAN. </w:t>
      </w:r>
      <w:r w:rsidRPr="008D36C3">
        <w:rPr>
          <w:rFonts w:ascii="Times New Roman" w:hAnsi="Times New Roman"/>
          <w:bCs/>
          <w:i/>
          <w:iCs/>
          <w:highlight w:val="lightGray"/>
        </w:rPr>
        <w:t>Concepto General en materia de procedimiento tributario y aduanero con motivo de la Ley 2277 de 2022.</w:t>
      </w:r>
    </w:p>
    <w:p w14:paraId="045A3D8D" w14:textId="77777777" w:rsidR="002807A7" w:rsidRPr="008D36C3" w:rsidRDefault="002807A7" w:rsidP="002807A7">
      <w:pPr>
        <w:spacing w:after="0" w:line="240" w:lineRule="auto"/>
        <w:ind w:left="720"/>
        <w:jc w:val="both"/>
        <w:rPr>
          <w:rFonts w:ascii="Times New Roman" w:hAnsi="Times New Roman"/>
          <w:b/>
          <w:bCs/>
          <w:highlight w:val="lightGray"/>
        </w:rPr>
      </w:pPr>
    </w:p>
    <w:p w14:paraId="045A3D8E" w14:textId="22586EB5" w:rsidR="00F16590" w:rsidRPr="008D36C3" w:rsidRDefault="00F16590" w:rsidP="00F16590">
      <w:pPr>
        <w:numPr>
          <w:ilvl w:val="0"/>
          <w:numId w:val="2"/>
        </w:numPr>
        <w:spacing w:after="0" w:line="240" w:lineRule="auto"/>
        <w:jc w:val="both"/>
        <w:rPr>
          <w:rFonts w:ascii="Times New Roman" w:hAnsi="Times New Roman"/>
          <w:b/>
          <w:bCs/>
          <w:highlight w:val="lightGray"/>
        </w:rPr>
      </w:pPr>
      <w:hyperlink r:id="rId139" w:history="1">
        <w:r w:rsidRPr="008D36C3">
          <w:rPr>
            <w:rStyle w:val="Hipervnculo"/>
            <w:rFonts w:ascii="Times New Roman" w:hAnsi="Times New Roman"/>
            <w:b/>
            <w:bCs/>
            <w:highlight w:val="lightGray"/>
          </w:rPr>
          <w:t>CONCEPTO 900827 DE 3 DE FEBRERO DE 2021</w:t>
        </w:r>
      </w:hyperlink>
      <w:r w:rsidRPr="008D36C3">
        <w:rPr>
          <w:rFonts w:ascii="Times New Roman" w:hAnsi="Times New Roman"/>
          <w:b/>
          <w:bCs/>
          <w:highlight w:val="lightGray"/>
        </w:rPr>
        <w:t xml:space="preserve">. DIAN. </w:t>
      </w:r>
      <w:r w:rsidRPr="008D36C3">
        <w:rPr>
          <w:rFonts w:ascii="Times New Roman" w:hAnsi="Times New Roman"/>
          <w:bCs/>
          <w:i/>
          <w:highlight w:val="lightGray"/>
        </w:rPr>
        <w:t>Las solicitudes de conciliación y de terminación por mutuo acuerdo y favorabilidad tributaria, debieron atender al plazo establecido en el artículo 3 del Decreto Legislativo 688 de 2020.</w:t>
      </w:r>
    </w:p>
    <w:p w14:paraId="045A3D8F" w14:textId="77777777" w:rsidR="00163A67" w:rsidRPr="008D36C3" w:rsidRDefault="00163A67" w:rsidP="00C44821">
      <w:pPr>
        <w:spacing w:after="0" w:line="240" w:lineRule="auto"/>
        <w:jc w:val="both"/>
        <w:rPr>
          <w:rFonts w:ascii="Times New Roman" w:hAnsi="Times New Roman"/>
          <w:b/>
          <w:bCs/>
          <w:highlight w:val="lightGray"/>
        </w:rPr>
      </w:pPr>
    </w:p>
    <w:p w14:paraId="045A3D90" w14:textId="078AC24A" w:rsidR="00F85D2B" w:rsidRPr="008D36C3" w:rsidRDefault="00F85D2B" w:rsidP="00F85D2B">
      <w:pPr>
        <w:numPr>
          <w:ilvl w:val="0"/>
          <w:numId w:val="2"/>
        </w:numPr>
        <w:spacing w:after="0" w:line="240" w:lineRule="auto"/>
        <w:jc w:val="both"/>
        <w:rPr>
          <w:rFonts w:ascii="Times New Roman" w:hAnsi="Times New Roman"/>
          <w:b/>
          <w:bCs/>
          <w:highlight w:val="lightGray"/>
        </w:rPr>
      </w:pPr>
      <w:hyperlink r:id="rId140" w:history="1">
        <w:r w:rsidRPr="008D36C3">
          <w:rPr>
            <w:rStyle w:val="Hipervnculo"/>
            <w:rFonts w:ascii="Times New Roman" w:hAnsi="Times New Roman"/>
            <w:b/>
            <w:bCs/>
            <w:highlight w:val="lightGray"/>
          </w:rPr>
          <w:t>CONCEPTO 905684 DE 7 DE OCTUBRE DE 2020</w:t>
        </w:r>
      </w:hyperlink>
      <w:r w:rsidRPr="008D36C3">
        <w:rPr>
          <w:rFonts w:ascii="Times New Roman" w:hAnsi="Times New Roman"/>
          <w:b/>
          <w:bCs/>
          <w:highlight w:val="lightGray"/>
        </w:rPr>
        <w:t xml:space="preserve">. DIAN. </w:t>
      </w:r>
      <w:r w:rsidRPr="008D36C3">
        <w:rPr>
          <w:rFonts w:ascii="Times New Roman" w:hAnsi="Times New Roman"/>
          <w:bCs/>
          <w:i/>
          <w:highlight w:val="lightGray"/>
        </w:rPr>
        <w:t>Lo dispuesto frente al interés bancario corriente del parágrafo 2 del artículo 120 de la Ley 2010 de 2019 no es aplicable para obligaciones en materia aduanera.</w:t>
      </w:r>
    </w:p>
    <w:p w14:paraId="045A3D91" w14:textId="77777777" w:rsidR="00F85D2B" w:rsidRPr="008D36C3" w:rsidRDefault="00F85D2B" w:rsidP="00F85D2B">
      <w:pPr>
        <w:spacing w:after="0" w:line="240" w:lineRule="auto"/>
        <w:ind w:left="720"/>
        <w:jc w:val="both"/>
        <w:rPr>
          <w:rFonts w:ascii="Times New Roman" w:hAnsi="Times New Roman"/>
          <w:b/>
          <w:bCs/>
          <w:highlight w:val="lightGray"/>
        </w:rPr>
      </w:pPr>
    </w:p>
    <w:p w14:paraId="045A3D92" w14:textId="3F9834A5" w:rsidR="00A412A7" w:rsidRPr="008D36C3" w:rsidRDefault="00A412A7" w:rsidP="00A412A7">
      <w:pPr>
        <w:numPr>
          <w:ilvl w:val="0"/>
          <w:numId w:val="2"/>
        </w:numPr>
        <w:spacing w:after="0" w:line="240" w:lineRule="auto"/>
        <w:jc w:val="both"/>
        <w:rPr>
          <w:rFonts w:ascii="Times New Roman" w:hAnsi="Times New Roman"/>
          <w:b/>
          <w:bCs/>
          <w:highlight w:val="lightGray"/>
        </w:rPr>
      </w:pPr>
      <w:hyperlink r:id="rId141" w:history="1">
        <w:r w:rsidRPr="008D36C3">
          <w:rPr>
            <w:rStyle w:val="Hipervnculo"/>
            <w:rFonts w:ascii="Times New Roman" w:hAnsi="Times New Roman"/>
            <w:b/>
            <w:bCs/>
            <w:highlight w:val="lightGray"/>
          </w:rPr>
          <w:t>CONCEPTO 905697 DE 7 DE OCTUBRE DE 2020</w:t>
        </w:r>
      </w:hyperlink>
      <w:r w:rsidRPr="008D36C3">
        <w:rPr>
          <w:rFonts w:ascii="Times New Roman" w:hAnsi="Times New Roman"/>
          <w:b/>
          <w:bCs/>
          <w:highlight w:val="lightGray"/>
        </w:rPr>
        <w:t xml:space="preserve">. DIAN. </w:t>
      </w:r>
      <w:r w:rsidRPr="008D36C3">
        <w:rPr>
          <w:rFonts w:ascii="Times New Roman" w:hAnsi="Times New Roman"/>
          <w:bCs/>
          <w:i/>
          <w:highlight w:val="lightGray"/>
        </w:rPr>
        <w:t>Requisitos para solicitar la aplicación del principio de favorabilidad en etapa de cobro de que trata el artículo 120 de la Ley 2010 de 2019.</w:t>
      </w:r>
    </w:p>
    <w:p w14:paraId="045A3D93" w14:textId="77777777" w:rsidR="00A412A7" w:rsidRPr="008D36C3" w:rsidRDefault="00A412A7" w:rsidP="00A412A7">
      <w:pPr>
        <w:spacing w:after="0" w:line="240" w:lineRule="auto"/>
        <w:ind w:left="720"/>
        <w:jc w:val="both"/>
        <w:rPr>
          <w:rFonts w:ascii="Times New Roman" w:hAnsi="Times New Roman"/>
          <w:b/>
          <w:bCs/>
          <w:highlight w:val="lightGray"/>
        </w:rPr>
      </w:pPr>
    </w:p>
    <w:p w14:paraId="045A3D94" w14:textId="03E83603" w:rsidR="00163A67" w:rsidRPr="008D36C3" w:rsidRDefault="00163A67" w:rsidP="00C44821">
      <w:pPr>
        <w:numPr>
          <w:ilvl w:val="0"/>
          <w:numId w:val="2"/>
        </w:numPr>
        <w:spacing w:after="0" w:line="240" w:lineRule="auto"/>
        <w:jc w:val="both"/>
        <w:rPr>
          <w:rFonts w:ascii="Times New Roman" w:hAnsi="Times New Roman"/>
          <w:b/>
          <w:bCs/>
          <w:highlight w:val="lightGray"/>
        </w:rPr>
      </w:pPr>
      <w:hyperlink r:id="rId142" w:history="1">
        <w:r w:rsidRPr="008D36C3">
          <w:rPr>
            <w:rStyle w:val="Hipervnculo"/>
            <w:rFonts w:ascii="Times New Roman" w:hAnsi="Times New Roman"/>
            <w:b/>
            <w:bCs/>
            <w:highlight w:val="lightGray"/>
          </w:rPr>
          <w:t>CONCEPTO 100208221-000091 DE 29 DE ENERO DE 2020</w:t>
        </w:r>
      </w:hyperlink>
      <w:r w:rsidRPr="008D36C3">
        <w:rPr>
          <w:rFonts w:ascii="Times New Roman" w:hAnsi="Times New Roman"/>
          <w:b/>
          <w:bCs/>
          <w:highlight w:val="lightGray"/>
        </w:rPr>
        <w:t xml:space="preserve">. DIAN. </w:t>
      </w:r>
      <w:r w:rsidRPr="008D36C3">
        <w:rPr>
          <w:rFonts w:ascii="Times New Roman" w:hAnsi="Times New Roman"/>
          <w:bCs/>
          <w:i/>
          <w:highlight w:val="lightGray"/>
        </w:rPr>
        <w:t>Conciliación Contencioso - Administrativa en materia tributaria, aduanera y cambiaria. Terminación por mutuo acuerdo de los procesos administrativos tributarios, aduaneros y cambiarios. Principio de favorabilidad en etapa de cobro garantías.</w:t>
      </w:r>
    </w:p>
    <w:p w14:paraId="045A3D95" w14:textId="382E90BD" w:rsidR="00040448" w:rsidRPr="00F53530" w:rsidRDefault="00040448" w:rsidP="00C44821">
      <w:pPr>
        <w:spacing w:before="240" w:after="240" w:line="240" w:lineRule="auto"/>
        <w:jc w:val="both"/>
        <w:rPr>
          <w:rFonts w:ascii="Times New Roman" w:hAnsi="Times New Roman"/>
        </w:rPr>
      </w:pPr>
      <w:r w:rsidRPr="00FD12DF">
        <w:rPr>
          <w:rFonts w:ascii="Times New Roman" w:hAnsi="Times New Roman"/>
          <w:b/>
          <w:bCs/>
        </w:rPr>
        <w:t>ARTÍCULO 121.</w:t>
      </w:r>
      <w:r w:rsidR="00FD12DF">
        <w:rPr>
          <w:rFonts w:ascii="Times New Roman" w:hAnsi="Times New Roman"/>
          <w:b/>
          <w:bCs/>
        </w:rPr>
        <w:t xml:space="preserve"> </w:t>
      </w:r>
      <w:r w:rsidRPr="00F53530">
        <w:rPr>
          <w:rFonts w:ascii="Times New Roman" w:hAnsi="Times New Roman"/>
        </w:rPr>
        <w:t xml:space="preserve">Modifíquense el numeral 3, el numeral 4, el parágrafo 1 y adiciónese un parágrafo 4 al artículo 179 de la </w:t>
      </w:r>
      <w:hyperlink r:id="rId143" w:history="1">
        <w:r w:rsidRPr="00F50CA6">
          <w:rPr>
            <w:rStyle w:val="Hipervnculo"/>
            <w:rFonts w:ascii="Times New Roman" w:hAnsi="Times New Roman"/>
          </w:rPr>
          <w:t>Ley 1607 de 2012</w:t>
        </w:r>
      </w:hyperlink>
      <w:r w:rsidRPr="00F53530">
        <w:rPr>
          <w:rFonts w:ascii="Times New Roman" w:hAnsi="Times New Roman"/>
        </w:rPr>
        <w:t xml:space="preserve">, modificado por el artículo 314 de la </w:t>
      </w:r>
      <w:hyperlink r:id="rId144" w:history="1">
        <w:r w:rsidRPr="00646137">
          <w:rPr>
            <w:rStyle w:val="Hipervnculo"/>
            <w:rFonts w:ascii="Times New Roman" w:hAnsi="Times New Roman"/>
          </w:rPr>
          <w:t>Ley 1819 de 2016</w:t>
        </w:r>
      </w:hyperlink>
      <w:r w:rsidRPr="00F53530">
        <w:rPr>
          <w:rFonts w:ascii="Times New Roman" w:hAnsi="Times New Roman"/>
        </w:rPr>
        <w:t>, los cuales quedan así:</w:t>
      </w:r>
    </w:p>
    <w:p w14:paraId="045A3D9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Los aportantes y en general todas las personas naturales y jurídicas, sean estas entidades públicas o privadas, a los que la Unidad de Gestión Pensional y Parafiscales (UGPP) en desarrollo de su función relacionada con el control a la evasión de las contribuciones parafiscales del Sistema de la Protección Social, les solicite información y esta, no sea suministrada o se suministre en forma extemporánea, y/o incompleta y/o inexacta, se harán acreedores a una sanción hasta de 15.000 UVT, a favor del Tesoro Nacional, que se liquidará de acuerdo con el número de meses o fracción de mes de incumplimiento así:</w:t>
      </w:r>
    </w:p>
    <w:tbl>
      <w:tblPr>
        <w:tblW w:w="4620" w:type="dxa"/>
        <w:jc w:val="center"/>
        <w:tblCellMar>
          <w:left w:w="70" w:type="dxa"/>
          <w:right w:w="70" w:type="dxa"/>
        </w:tblCellMar>
        <w:tblLook w:val="04A0" w:firstRow="1" w:lastRow="0" w:firstColumn="1" w:lastColumn="0" w:noHBand="0" w:noVBand="1"/>
      </w:tblPr>
      <w:tblGrid>
        <w:gridCol w:w="2660"/>
        <w:gridCol w:w="1960"/>
      </w:tblGrid>
      <w:tr w:rsidR="00040040" w:rsidRPr="00F53530" w14:paraId="045A3D99" w14:textId="77777777" w:rsidTr="00FD12DF">
        <w:trPr>
          <w:trHeight w:val="855"/>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A3D97" w14:textId="77777777" w:rsidR="00040040" w:rsidRPr="00F53530" w:rsidRDefault="00040040"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NÚMERO DE MESES O FRACCIÓN DE MESES EN MORA</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045A3D98" w14:textId="77777777" w:rsidR="00040040" w:rsidRPr="00F53530" w:rsidRDefault="00040040"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NÚMERO DE UVT A PAGAR</w:t>
            </w:r>
          </w:p>
        </w:tc>
      </w:tr>
      <w:tr w:rsidR="00040040" w:rsidRPr="00F53530" w14:paraId="045A3D9C" w14:textId="77777777" w:rsidTr="00FD12DF">
        <w:trPr>
          <w:trHeight w:val="3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45A3D9A"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Hasta 1</w:t>
            </w:r>
          </w:p>
        </w:tc>
        <w:tc>
          <w:tcPr>
            <w:tcW w:w="1960" w:type="dxa"/>
            <w:tcBorders>
              <w:top w:val="nil"/>
              <w:left w:val="nil"/>
              <w:bottom w:val="single" w:sz="4" w:space="0" w:color="auto"/>
              <w:right w:val="single" w:sz="4" w:space="0" w:color="auto"/>
            </w:tcBorders>
            <w:shd w:val="clear" w:color="auto" w:fill="auto"/>
            <w:vAlign w:val="center"/>
            <w:hideMark/>
          </w:tcPr>
          <w:p w14:paraId="045A3D9B"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30</w:t>
            </w:r>
          </w:p>
        </w:tc>
      </w:tr>
      <w:tr w:rsidR="00040040" w:rsidRPr="00F53530" w14:paraId="045A3D9F" w14:textId="77777777" w:rsidTr="00FD12DF">
        <w:trPr>
          <w:trHeight w:val="3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45A3D9D"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Hasta 2</w:t>
            </w:r>
          </w:p>
        </w:tc>
        <w:tc>
          <w:tcPr>
            <w:tcW w:w="1960" w:type="dxa"/>
            <w:tcBorders>
              <w:top w:val="nil"/>
              <w:left w:val="nil"/>
              <w:bottom w:val="single" w:sz="4" w:space="0" w:color="auto"/>
              <w:right w:val="single" w:sz="4" w:space="0" w:color="auto"/>
            </w:tcBorders>
            <w:shd w:val="clear" w:color="auto" w:fill="auto"/>
            <w:vAlign w:val="center"/>
            <w:hideMark/>
          </w:tcPr>
          <w:p w14:paraId="045A3D9E"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90</w:t>
            </w:r>
          </w:p>
        </w:tc>
      </w:tr>
      <w:tr w:rsidR="00040040" w:rsidRPr="00F53530" w14:paraId="045A3DA2" w14:textId="77777777" w:rsidTr="00FD12DF">
        <w:trPr>
          <w:trHeight w:val="3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45A3DA0"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lastRenderedPageBreak/>
              <w:t>Hasta 3</w:t>
            </w:r>
          </w:p>
        </w:tc>
        <w:tc>
          <w:tcPr>
            <w:tcW w:w="1960" w:type="dxa"/>
            <w:tcBorders>
              <w:top w:val="nil"/>
              <w:left w:val="nil"/>
              <w:bottom w:val="single" w:sz="4" w:space="0" w:color="auto"/>
              <w:right w:val="single" w:sz="4" w:space="0" w:color="auto"/>
            </w:tcBorders>
            <w:shd w:val="clear" w:color="auto" w:fill="auto"/>
            <w:vAlign w:val="center"/>
            <w:hideMark/>
          </w:tcPr>
          <w:p w14:paraId="045A3DA1"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240</w:t>
            </w:r>
          </w:p>
        </w:tc>
      </w:tr>
      <w:tr w:rsidR="00040040" w:rsidRPr="00F53530" w14:paraId="045A3DA5" w14:textId="77777777" w:rsidTr="00FD12DF">
        <w:trPr>
          <w:trHeight w:val="3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45A3DA3"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Hasta 4</w:t>
            </w:r>
          </w:p>
        </w:tc>
        <w:tc>
          <w:tcPr>
            <w:tcW w:w="1960" w:type="dxa"/>
            <w:tcBorders>
              <w:top w:val="nil"/>
              <w:left w:val="nil"/>
              <w:bottom w:val="single" w:sz="4" w:space="0" w:color="auto"/>
              <w:right w:val="single" w:sz="4" w:space="0" w:color="auto"/>
            </w:tcBorders>
            <w:shd w:val="clear" w:color="auto" w:fill="auto"/>
            <w:vAlign w:val="center"/>
            <w:hideMark/>
          </w:tcPr>
          <w:p w14:paraId="045A3DA4"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450</w:t>
            </w:r>
          </w:p>
        </w:tc>
      </w:tr>
      <w:tr w:rsidR="00040040" w:rsidRPr="00F53530" w14:paraId="045A3DA8" w14:textId="77777777" w:rsidTr="00FD12DF">
        <w:trPr>
          <w:trHeight w:val="3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45A3DA6"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Hasta 5</w:t>
            </w:r>
          </w:p>
        </w:tc>
        <w:tc>
          <w:tcPr>
            <w:tcW w:w="1960" w:type="dxa"/>
            <w:tcBorders>
              <w:top w:val="nil"/>
              <w:left w:val="nil"/>
              <w:bottom w:val="single" w:sz="4" w:space="0" w:color="auto"/>
              <w:right w:val="single" w:sz="4" w:space="0" w:color="auto"/>
            </w:tcBorders>
            <w:shd w:val="clear" w:color="auto" w:fill="auto"/>
            <w:vAlign w:val="center"/>
            <w:hideMark/>
          </w:tcPr>
          <w:p w14:paraId="045A3DA7"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750</w:t>
            </w:r>
          </w:p>
        </w:tc>
      </w:tr>
      <w:tr w:rsidR="00040040" w:rsidRPr="00F53530" w14:paraId="045A3DAB" w14:textId="77777777" w:rsidTr="00FD12DF">
        <w:trPr>
          <w:trHeight w:val="3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45A3DA9"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Hasta 6</w:t>
            </w:r>
          </w:p>
        </w:tc>
        <w:tc>
          <w:tcPr>
            <w:tcW w:w="1960" w:type="dxa"/>
            <w:tcBorders>
              <w:top w:val="nil"/>
              <w:left w:val="nil"/>
              <w:bottom w:val="single" w:sz="4" w:space="0" w:color="auto"/>
              <w:right w:val="single" w:sz="4" w:space="0" w:color="auto"/>
            </w:tcBorders>
            <w:shd w:val="clear" w:color="auto" w:fill="auto"/>
            <w:vAlign w:val="center"/>
            <w:hideMark/>
          </w:tcPr>
          <w:p w14:paraId="045A3DAA"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1200</w:t>
            </w:r>
          </w:p>
        </w:tc>
      </w:tr>
      <w:tr w:rsidR="00040040" w:rsidRPr="00F53530" w14:paraId="045A3DAE" w14:textId="77777777" w:rsidTr="00FD12DF">
        <w:trPr>
          <w:trHeight w:val="3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45A3DAC"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Hasta 7</w:t>
            </w:r>
          </w:p>
        </w:tc>
        <w:tc>
          <w:tcPr>
            <w:tcW w:w="1960" w:type="dxa"/>
            <w:tcBorders>
              <w:top w:val="nil"/>
              <w:left w:val="nil"/>
              <w:bottom w:val="single" w:sz="4" w:space="0" w:color="auto"/>
              <w:right w:val="single" w:sz="4" w:space="0" w:color="auto"/>
            </w:tcBorders>
            <w:shd w:val="clear" w:color="auto" w:fill="auto"/>
            <w:vAlign w:val="center"/>
            <w:hideMark/>
          </w:tcPr>
          <w:p w14:paraId="045A3DAD"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1950</w:t>
            </w:r>
          </w:p>
        </w:tc>
      </w:tr>
      <w:tr w:rsidR="00040040" w:rsidRPr="00F53530" w14:paraId="045A3DB1" w14:textId="77777777" w:rsidTr="00FD12DF">
        <w:trPr>
          <w:trHeight w:val="3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45A3DAF"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Hasta 8</w:t>
            </w:r>
          </w:p>
        </w:tc>
        <w:tc>
          <w:tcPr>
            <w:tcW w:w="1960" w:type="dxa"/>
            <w:tcBorders>
              <w:top w:val="nil"/>
              <w:left w:val="nil"/>
              <w:bottom w:val="single" w:sz="4" w:space="0" w:color="auto"/>
              <w:right w:val="single" w:sz="4" w:space="0" w:color="auto"/>
            </w:tcBorders>
            <w:shd w:val="clear" w:color="auto" w:fill="auto"/>
            <w:vAlign w:val="center"/>
            <w:hideMark/>
          </w:tcPr>
          <w:p w14:paraId="045A3DB0"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3150</w:t>
            </w:r>
          </w:p>
        </w:tc>
      </w:tr>
      <w:tr w:rsidR="00040040" w:rsidRPr="00F53530" w14:paraId="045A3DB4" w14:textId="77777777" w:rsidTr="00FD12DF">
        <w:trPr>
          <w:trHeight w:val="3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45A3DB2"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Hasta 9</w:t>
            </w:r>
          </w:p>
        </w:tc>
        <w:tc>
          <w:tcPr>
            <w:tcW w:w="1960" w:type="dxa"/>
            <w:tcBorders>
              <w:top w:val="nil"/>
              <w:left w:val="nil"/>
              <w:bottom w:val="single" w:sz="4" w:space="0" w:color="auto"/>
              <w:right w:val="single" w:sz="4" w:space="0" w:color="auto"/>
            </w:tcBorders>
            <w:shd w:val="clear" w:color="auto" w:fill="auto"/>
            <w:vAlign w:val="center"/>
            <w:hideMark/>
          </w:tcPr>
          <w:p w14:paraId="045A3DB3"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4800</w:t>
            </w:r>
          </w:p>
        </w:tc>
      </w:tr>
      <w:tr w:rsidR="00040040" w:rsidRPr="00F53530" w14:paraId="045A3DB7" w14:textId="77777777" w:rsidTr="00FD12DF">
        <w:trPr>
          <w:trHeight w:val="3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45A3DB5"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Hasta 10</w:t>
            </w:r>
          </w:p>
        </w:tc>
        <w:tc>
          <w:tcPr>
            <w:tcW w:w="1960" w:type="dxa"/>
            <w:tcBorders>
              <w:top w:val="nil"/>
              <w:left w:val="nil"/>
              <w:bottom w:val="single" w:sz="4" w:space="0" w:color="auto"/>
              <w:right w:val="single" w:sz="4" w:space="0" w:color="auto"/>
            </w:tcBorders>
            <w:shd w:val="clear" w:color="auto" w:fill="auto"/>
            <w:vAlign w:val="center"/>
            <w:hideMark/>
          </w:tcPr>
          <w:p w14:paraId="045A3DB6"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7200</w:t>
            </w:r>
          </w:p>
        </w:tc>
      </w:tr>
      <w:tr w:rsidR="00040040" w:rsidRPr="00F53530" w14:paraId="045A3DBA" w14:textId="77777777" w:rsidTr="00FD12DF">
        <w:trPr>
          <w:trHeight w:val="3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45A3DB8"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Hasta 11</w:t>
            </w:r>
          </w:p>
        </w:tc>
        <w:tc>
          <w:tcPr>
            <w:tcW w:w="1960" w:type="dxa"/>
            <w:tcBorders>
              <w:top w:val="nil"/>
              <w:left w:val="nil"/>
              <w:bottom w:val="single" w:sz="4" w:space="0" w:color="auto"/>
              <w:right w:val="single" w:sz="4" w:space="0" w:color="auto"/>
            </w:tcBorders>
            <w:shd w:val="clear" w:color="auto" w:fill="auto"/>
            <w:vAlign w:val="center"/>
            <w:hideMark/>
          </w:tcPr>
          <w:p w14:paraId="045A3DB9"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10500</w:t>
            </w:r>
          </w:p>
        </w:tc>
      </w:tr>
      <w:tr w:rsidR="00040040" w:rsidRPr="00F53530" w14:paraId="045A3DBD" w14:textId="77777777" w:rsidTr="00FD12DF">
        <w:trPr>
          <w:trHeight w:val="3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45A3DBB"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A partir 12 meses</w:t>
            </w:r>
          </w:p>
        </w:tc>
        <w:tc>
          <w:tcPr>
            <w:tcW w:w="1960" w:type="dxa"/>
            <w:tcBorders>
              <w:top w:val="nil"/>
              <w:left w:val="nil"/>
              <w:bottom w:val="single" w:sz="4" w:space="0" w:color="auto"/>
              <w:right w:val="single" w:sz="4" w:space="0" w:color="auto"/>
            </w:tcBorders>
            <w:shd w:val="clear" w:color="auto" w:fill="auto"/>
            <w:vAlign w:val="center"/>
            <w:hideMark/>
          </w:tcPr>
          <w:p w14:paraId="045A3DBC" w14:textId="77777777" w:rsidR="00040040" w:rsidRPr="00F53530" w:rsidRDefault="00040040"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15000</w:t>
            </w:r>
          </w:p>
        </w:tc>
      </w:tr>
    </w:tbl>
    <w:p w14:paraId="045A3DB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 sanción a que se refiere el presente artículo se reducirá en el porcentaje que se señala a continuación y según los ingresos brutos del obligado, así:</w:t>
      </w:r>
    </w:p>
    <w:tbl>
      <w:tblPr>
        <w:tblW w:w="8364" w:type="dxa"/>
        <w:jc w:val="center"/>
        <w:tblCellMar>
          <w:left w:w="70" w:type="dxa"/>
          <w:right w:w="70" w:type="dxa"/>
        </w:tblCellMar>
        <w:tblLook w:val="04A0" w:firstRow="1" w:lastRow="0" w:firstColumn="1" w:lastColumn="0" w:noHBand="0" w:noVBand="1"/>
      </w:tblPr>
      <w:tblGrid>
        <w:gridCol w:w="2340"/>
        <w:gridCol w:w="1913"/>
        <w:gridCol w:w="2126"/>
        <w:gridCol w:w="1985"/>
      </w:tblGrid>
      <w:tr w:rsidR="00144F22" w:rsidRPr="00F53530" w14:paraId="045A3DC1" w14:textId="77777777" w:rsidTr="00FD12DF">
        <w:trPr>
          <w:trHeight w:val="315"/>
          <w:jc w:val="center"/>
        </w:trPr>
        <w:tc>
          <w:tcPr>
            <w:tcW w:w="2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5A3DBF" w14:textId="77777777" w:rsidR="00144F22" w:rsidRPr="00F53530" w:rsidRDefault="00144F22"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Entrega de la información completa y con la calidad requerida</w:t>
            </w:r>
          </w:p>
        </w:tc>
        <w:tc>
          <w:tcPr>
            <w:tcW w:w="6024" w:type="dxa"/>
            <w:gridSpan w:val="3"/>
            <w:tcBorders>
              <w:top w:val="single" w:sz="8" w:space="0" w:color="auto"/>
              <w:left w:val="nil"/>
              <w:bottom w:val="single" w:sz="8" w:space="0" w:color="auto"/>
              <w:right w:val="single" w:sz="8" w:space="0" w:color="000000"/>
            </w:tcBorders>
            <w:shd w:val="clear" w:color="auto" w:fill="auto"/>
            <w:vAlign w:val="center"/>
            <w:hideMark/>
          </w:tcPr>
          <w:p w14:paraId="045A3DC0" w14:textId="77777777" w:rsidR="00144F22" w:rsidRPr="00F53530" w:rsidRDefault="00144F22"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Porcentaje de reducción de la sanción</w:t>
            </w:r>
          </w:p>
        </w:tc>
      </w:tr>
      <w:tr w:rsidR="00144F22" w:rsidRPr="00F53530" w14:paraId="045A3DC6" w14:textId="77777777" w:rsidTr="00FD12DF">
        <w:trPr>
          <w:trHeight w:val="300"/>
          <w:jc w:val="center"/>
        </w:trPr>
        <w:tc>
          <w:tcPr>
            <w:tcW w:w="2340" w:type="dxa"/>
            <w:vMerge/>
            <w:tcBorders>
              <w:top w:val="single" w:sz="8" w:space="0" w:color="auto"/>
              <w:left w:val="single" w:sz="8" w:space="0" w:color="auto"/>
              <w:bottom w:val="single" w:sz="8" w:space="0" w:color="000000"/>
              <w:right w:val="single" w:sz="8" w:space="0" w:color="auto"/>
            </w:tcBorders>
            <w:vAlign w:val="center"/>
            <w:hideMark/>
          </w:tcPr>
          <w:p w14:paraId="045A3DC2" w14:textId="77777777" w:rsidR="00144F22" w:rsidRPr="00F53530" w:rsidRDefault="00144F22" w:rsidP="00C44821">
            <w:pPr>
              <w:spacing w:after="0" w:line="240" w:lineRule="auto"/>
              <w:jc w:val="center"/>
              <w:rPr>
                <w:rFonts w:ascii="Times New Roman" w:eastAsia="Times New Roman" w:hAnsi="Times New Roman"/>
                <w:b/>
                <w:bCs/>
                <w:i/>
                <w:color w:val="000000"/>
                <w:lang w:eastAsia="es-CO"/>
              </w:rPr>
            </w:pPr>
          </w:p>
        </w:tc>
        <w:tc>
          <w:tcPr>
            <w:tcW w:w="1913" w:type="dxa"/>
            <w:vMerge w:val="restart"/>
            <w:tcBorders>
              <w:top w:val="nil"/>
              <w:left w:val="single" w:sz="8" w:space="0" w:color="auto"/>
              <w:bottom w:val="single" w:sz="8" w:space="0" w:color="000000"/>
              <w:right w:val="single" w:sz="8" w:space="0" w:color="auto"/>
            </w:tcBorders>
            <w:shd w:val="clear" w:color="auto" w:fill="auto"/>
            <w:vAlign w:val="center"/>
            <w:hideMark/>
          </w:tcPr>
          <w:p w14:paraId="045A3DC3" w14:textId="77777777" w:rsidR="00144F22" w:rsidRPr="00F53530" w:rsidRDefault="00144F22"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Obligados con ingresos brutos hasta 100 mil UVT</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045A3DC4" w14:textId="77777777" w:rsidR="00144F22" w:rsidRPr="00F53530" w:rsidRDefault="00144F22"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Obligados con ingresos brutos superiores a 100 mil UVT e inferiores o iguales a 300 mil   UVT</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45A3DC5" w14:textId="77777777" w:rsidR="00144F22" w:rsidRPr="00F53530" w:rsidRDefault="00144F22"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Obligados con ingresos brutos superiores a 300 mil UVT</w:t>
            </w:r>
          </w:p>
        </w:tc>
      </w:tr>
      <w:tr w:rsidR="00144F22" w:rsidRPr="00F53530" w14:paraId="045A3DCB" w14:textId="77777777" w:rsidTr="00FD12DF">
        <w:trPr>
          <w:trHeight w:val="1743"/>
          <w:jc w:val="center"/>
        </w:trPr>
        <w:tc>
          <w:tcPr>
            <w:tcW w:w="2340" w:type="dxa"/>
            <w:vMerge/>
            <w:tcBorders>
              <w:top w:val="single" w:sz="8" w:space="0" w:color="auto"/>
              <w:left w:val="single" w:sz="8" w:space="0" w:color="auto"/>
              <w:bottom w:val="single" w:sz="8" w:space="0" w:color="000000"/>
              <w:right w:val="single" w:sz="8" w:space="0" w:color="auto"/>
            </w:tcBorders>
            <w:vAlign w:val="center"/>
            <w:hideMark/>
          </w:tcPr>
          <w:p w14:paraId="045A3DC7" w14:textId="77777777" w:rsidR="00144F22" w:rsidRPr="00F53530" w:rsidRDefault="00144F22" w:rsidP="00C44821">
            <w:pPr>
              <w:spacing w:after="0" w:line="240" w:lineRule="auto"/>
              <w:jc w:val="center"/>
              <w:rPr>
                <w:rFonts w:ascii="Times New Roman" w:eastAsia="Times New Roman" w:hAnsi="Times New Roman"/>
                <w:b/>
                <w:bCs/>
                <w:i/>
                <w:color w:val="000000"/>
                <w:lang w:eastAsia="es-CO"/>
              </w:rPr>
            </w:pPr>
          </w:p>
        </w:tc>
        <w:tc>
          <w:tcPr>
            <w:tcW w:w="1913" w:type="dxa"/>
            <w:vMerge/>
            <w:tcBorders>
              <w:top w:val="nil"/>
              <w:left w:val="single" w:sz="8" w:space="0" w:color="auto"/>
              <w:bottom w:val="single" w:sz="8" w:space="0" w:color="000000"/>
              <w:right w:val="single" w:sz="8" w:space="0" w:color="auto"/>
            </w:tcBorders>
            <w:vAlign w:val="center"/>
            <w:hideMark/>
          </w:tcPr>
          <w:p w14:paraId="045A3DC8" w14:textId="77777777" w:rsidR="00144F22" w:rsidRPr="00F53530" w:rsidRDefault="00144F22" w:rsidP="00C44821">
            <w:pPr>
              <w:spacing w:after="0" w:line="240" w:lineRule="auto"/>
              <w:jc w:val="center"/>
              <w:rPr>
                <w:rFonts w:ascii="Times New Roman" w:eastAsia="Times New Roman" w:hAnsi="Times New Roman"/>
                <w:b/>
                <w:bCs/>
                <w:i/>
                <w:color w:val="000000"/>
                <w:lang w:eastAsia="es-CO"/>
              </w:rPr>
            </w:pPr>
          </w:p>
        </w:tc>
        <w:tc>
          <w:tcPr>
            <w:tcW w:w="2126" w:type="dxa"/>
            <w:vMerge/>
            <w:tcBorders>
              <w:top w:val="nil"/>
              <w:left w:val="single" w:sz="8" w:space="0" w:color="auto"/>
              <w:bottom w:val="single" w:sz="8" w:space="0" w:color="000000"/>
              <w:right w:val="single" w:sz="8" w:space="0" w:color="auto"/>
            </w:tcBorders>
            <w:vAlign w:val="center"/>
            <w:hideMark/>
          </w:tcPr>
          <w:p w14:paraId="045A3DC9" w14:textId="77777777" w:rsidR="00144F22" w:rsidRPr="00F53530" w:rsidRDefault="00144F22" w:rsidP="00C44821">
            <w:pPr>
              <w:spacing w:after="0" w:line="240" w:lineRule="auto"/>
              <w:jc w:val="center"/>
              <w:rPr>
                <w:rFonts w:ascii="Times New Roman" w:eastAsia="Times New Roman" w:hAnsi="Times New Roman"/>
                <w:b/>
                <w:bCs/>
                <w:i/>
                <w:color w:val="000000"/>
                <w:lang w:eastAsia="es-CO"/>
              </w:rPr>
            </w:pPr>
          </w:p>
        </w:tc>
        <w:tc>
          <w:tcPr>
            <w:tcW w:w="1985" w:type="dxa"/>
            <w:vMerge/>
            <w:tcBorders>
              <w:top w:val="nil"/>
              <w:left w:val="single" w:sz="8" w:space="0" w:color="auto"/>
              <w:bottom w:val="single" w:sz="8" w:space="0" w:color="000000"/>
              <w:right w:val="single" w:sz="8" w:space="0" w:color="auto"/>
            </w:tcBorders>
            <w:vAlign w:val="center"/>
            <w:hideMark/>
          </w:tcPr>
          <w:p w14:paraId="045A3DCA" w14:textId="77777777" w:rsidR="00144F22" w:rsidRPr="00F53530" w:rsidRDefault="00144F22" w:rsidP="00C44821">
            <w:pPr>
              <w:spacing w:after="0" w:line="240" w:lineRule="auto"/>
              <w:jc w:val="center"/>
              <w:rPr>
                <w:rFonts w:ascii="Times New Roman" w:eastAsia="Times New Roman" w:hAnsi="Times New Roman"/>
                <w:b/>
                <w:bCs/>
                <w:i/>
                <w:color w:val="000000"/>
                <w:lang w:eastAsia="es-CO"/>
              </w:rPr>
            </w:pPr>
          </w:p>
        </w:tc>
      </w:tr>
      <w:tr w:rsidR="00144F22" w:rsidRPr="00F53530" w14:paraId="045A3DD0" w14:textId="77777777" w:rsidTr="00FD12DF">
        <w:trPr>
          <w:trHeight w:val="585"/>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045A3DCC" w14:textId="77777777" w:rsidR="00144F22" w:rsidRPr="00F53530" w:rsidRDefault="00144F22"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ENTRE EL MES 1 Y HASTA EL  4</w:t>
            </w:r>
          </w:p>
        </w:tc>
        <w:tc>
          <w:tcPr>
            <w:tcW w:w="1913" w:type="dxa"/>
            <w:tcBorders>
              <w:top w:val="nil"/>
              <w:left w:val="nil"/>
              <w:bottom w:val="single" w:sz="8" w:space="0" w:color="auto"/>
              <w:right w:val="single" w:sz="8" w:space="0" w:color="auto"/>
            </w:tcBorders>
            <w:shd w:val="clear" w:color="auto" w:fill="auto"/>
            <w:vAlign w:val="center"/>
            <w:hideMark/>
          </w:tcPr>
          <w:p w14:paraId="045A3DCD" w14:textId="77777777" w:rsidR="00144F22" w:rsidRPr="00F53530" w:rsidRDefault="00144F22"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90%</w:t>
            </w:r>
          </w:p>
        </w:tc>
        <w:tc>
          <w:tcPr>
            <w:tcW w:w="2126" w:type="dxa"/>
            <w:tcBorders>
              <w:top w:val="nil"/>
              <w:left w:val="nil"/>
              <w:bottom w:val="single" w:sz="8" w:space="0" w:color="auto"/>
              <w:right w:val="single" w:sz="8" w:space="0" w:color="auto"/>
            </w:tcBorders>
            <w:shd w:val="clear" w:color="auto" w:fill="auto"/>
            <w:vAlign w:val="center"/>
            <w:hideMark/>
          </w:tcPr>
          <w:p w14:paraId="045A3DCE" w14:textId="77777777" w:rsidR="00144F22" w:rsidRPr="00F53530" w:rsidRDefault="00144F22"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80%</w:t>
            </w:r>
          </w:p>
        </w:tc>
        <w:tc>
          <w:tcPr>
            <w:tcW w:w="1985" w:type="dxa"/>
            <w:tcBorders>
              <w:top w:val="nil"/>
              <w:left w:val="nil"/>
              <w:bottom w:val="single" w:sz="8" w:space="0" w:color="auto"/>
              <w:right w:val="single" w:sz="8" w:space="0" w:color="auto"/>
            </w:tcBorders>
            <w:shd w:val="clear" w:color="auto" w:fill="auto"/>
            <w:vAlign w:val="center"/>
            <w:hideMark/>
          </w:tcPr>
          <w:p w14:paraId="045A3DCF" w14:textId="77777777" w:rsidR="00144F22" w:rsidRPr="00F53530" w:rsidRDefault="00144F22"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70%</w:t>
            </w:r>
          </w:p>
        </w:tc>
      </w:tr>
      <w:tr w:rsidR="00144F22" w:rsidRPr="00F53530" w14:paraId="045A3DD5" w14:textId="77777777" w:rsidTr="00FD12DF">
        <w:trPr>
          <w:trHeight w:val="585"/>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045A3DD1" w14:textId="77777777" w:rsidR="00144F22" w:rsidRPr="00F53530" w:rsidRDefault="00144F22"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ENTRE EL MES 4 Y HASTA EL MES 8</w:t>
            </w:r>
          </w:p>
        </w:tc>
        <w:tc>
          <w:tcPr>
            <w:tcW w:w="1913" w:type="dxa"/>
            <w:tcBorders>
              <w:top w:val="nil"/>
              <w:left w:val="nil"/>
              <w:bottom w:val="single" w:sz="8" w:space="0" w:color="auto"/>
              <w:right w:val="single" w:sz="8" w:space="0" w:color="auto"/>
            </w:tcBorders>
            <w:shd w:val="clear" w:color="auto" w:fill="auto"/>
            <w:vAlign w:val="center"/>
            <w:hideMark/>
          </w:tcPr>
          <w:p w14:paraId="045A3DD2" w14:textId="77777777" w:rsidR="00144F22" w:rsidRPr="00F53530" w:rsidRDefault="00144F22"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80%</w:t>
            </w:r>
          </w:p>
        </w:tc>
        <w:tc>
          <w:tcPr>
            <w:tcW w:w="2126" w:type="dxa"/>
            <w:tcBorders>
              <w:top w:val="nil"/>
              <w:left w:val="nil"/>
              <w:bottom w:val="single" w:sz="8" w:space="0" w:color="auto"/>
              <w:right w:val="single" w:sz="8" w:space="0" w:color="auto"/>
            </w:tcBorders>
            <w:shd w:val="clear" w:color="auto" w:fill="auto"/>
            <w:vAlign w:val="center"/>
            <w:hideMark/>
          </w:tcPr>
          <w:p w14:paraId="045A3DD3" w14:textId="77777777" w:rsidR="00144F22" w:rsidRPr="00F53530" w:rsidRDefault="00144F22"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70%</w:t>
            </w:r>
          </w:p>
        </w:tc>
        <w:tc>
          <w:tcPr>
            <w:tcW w:w="1985" w:type="dxa"/>
            <w:tcBorders>
              <w:top w:val="nil"/>
              <w:left w:val="nil"/>
              <w:bottom w:val="single" w:sz="8" w:space="0" w:color="auto"/>
              <w:right w:val="single" w:sz="8" w:space="0" w:color="auto"/>
            </w:tcBorders>
            <w:shd w:val="clear" w:color="auto" w:fill="auto"/>
            <w:vAlign w:val="center"/>
            <w:hideMark/>
          </w:tcPr>
          <w:p w14:paraId="045A3DD4" w14:textId="77777777" w:rsidR="00144F22" w:rsidRPr="00F53530" w:rsidRDefault="00144F22"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60%</w:t>
            </w:r>
          </w:p>
        </w:tc>
      </w:tr>
      <w:tr w:rsidR="00144F22" w:rsidRPr="00F53530" w14:paraId="045A3DDA" w14:textId="77777777" w:rsidTr="00FD12DF">
        <w:trPr>
          <w:trHeight w:val="585"/>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14:paraId="045A3DD6" w14:textId="77777777" w:rsidR="00144F22" w:rsidRPr="00F53530" w:rsidRDefault="00144F22"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ENTRE EL MES 9 HASTA EL MES 12</w:t>
            </w:r>
          </w:p>
        </w:tc>
        <w:tc>
          <w:tcPr>
            <w:tcW w:w="1913" w:type="dxa"/>
            <w:tcBorders>
              <w:top w:val="nil"/>
              <w:left w:val="nil"/>
              <w:bottom w:val="single" w:sz="8" w:space="0" w:color="auto"/>
              <w:right w:val="single" w:sz="8" w:space="0" w:color="auto"/>
            </w:tcBorders>
            <w:shd w:val="clear" w:color="auto" w:fill="auto"/>
            <w:vAlign w:val="center"/>
            <w:hideMark/>
          </w:tcPr>
          <w:p w14:paraId="045A3DD7" w14:textId="77777777" w:rsidR="00144F22" w:rsidRPr="00F53530" w:rsidRDefault="00144F22"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70%</w:t>
            </w:r>
          </w:p>
        </w:tc>
        <w:tc>
          <w:tcPr>
            <w:tcW w:w="2126" w:type="dxa"/>
            <w:tcBorders>
              <w:top w:val="nil"/>
              <w:left w:val="nil"/>
              <w:bottom w:val="single" w:sz="8" w:space="0" w:color="auto"/>
              <w:right w:val="single" w:sz="8" w:space="0" w:color="auto"/>
            </w:tcBorders>
            <w:shd w:val="clear" w:color="auto" w:fill="auto"/>
            <w:vAlign w:val="center"/>
            <w:hideMark/>
          </w:tcPr>
          <w:p w14:paraId="045A3DD8" w14:textId="77777777" w:rsidR="00144F22" w:rsidRPr="00F53530" w:rsidRDefault="00144F22"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60%</w:t>
            </w:r>
          </w:p>
        </w:tc>
        <w:tc>
          <w:tcPr>
            <w:tcW w:w="1985" w:type="dxa"/>
            <w:tcBorders>
              <w:top w:val="nil"/>
              <w:left w:val="nil"/>
              <w:bottom w:val="single" w:sz="8" w:space="0" w:color="auto"/>
              <w:right w:val="single" w:sz="8" w:space="0" w:color="auto"/>
            </w:tcBorders>
            <w:shd w:val="clear" w:color="auto" w:fill="auto"/>
            <w:vAlign w:val="center"/>
            <w:hideMark/>
          </w:tcPr>
          <w:p w14:paraId="045A3DD9" w14:textId="77777777" w:rsidR="00144F22" w:rsidRPr="00F53530" w:rsidRDefault="00144F22"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50%</w:t>
            </w:r>
          </w:p>
        </w:tc>
      </w:tr>
    </w:tbl>
    <w:p w14:paraId="045A3DD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Es decir, que la sanción se reducirá en el 90% para los obligados que registren ingresos brutos hasta de 100.000 UVT, en el 80% para los obligados que registren ingresos brutos mayores a 100.000 UVT y menores o iguales a 300.000 UVT y, en el 70% para los obligados que registren ingresos brutos mayores a 300.000 UVT, si la información es entregada dentro del primer cuatrimestre. Si la información es entregada en el segundo cuatrimestre, la reducción será del 80%, 70% y 60% respectivamente. Si la información es entregada en el tercer cuatrimestre, la reducción será del 70%, 60% y 50% respectivamente.</w:t>
      </w:r>
    </w:p>
    <w:p w14:paraId="045A3DD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Esta reducción será procedente, siempre y cuando el obligado entregue la información a satisfacción y efectué, en el mismo mes en que se entregue la información, o a más tardar dentro del mes calendario siguiente, el pago del valor de la sanción reducida, de acuerdo a lo establecido en los incisos anteriores. No realizar el pago dentro del término anteriormente señalado, dará lugar a la imposición de la respectiva sanción sin reducción.</w:t>
      </w:r>
    </w:p>
    <w:p w14:paraId="045A3DD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Los ingresos brutos serán los registrados en la última declaración del impuesto sobre la renta presentada por el obligado o los ingresos brutos que determine la UGPP cuando no exista declaración, con información suministrada, especialmente, por la DIAN.</w:t>
      </w:r>
    </w:p>
    <w:p w14:paraId="045A3DD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Una vez entregada la información de acuerdo con los términos exigidos por la entidad, y acreditado el respectivo pago ante la UGPP, esta verificará el cumplimiento de los requisitos para determinar la procedencia o no de la reducción de la sanción, de acuerdo con el procedimiento que para tal efecto establezca la Unidad.</w:t>
      </w:r>
    </w:p>
    <w:p w14:paraId="045A3DD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Transcurridos 12 meses, contados a partir de la fecha en que se debió entregar la información a satisfacción y no se entregó, o se entregó en forma incompleta o inexacta, a partir del día siguiente a la finalización del doceavo mes, se aplicará la sanción de 15.000 UVT, sin que haya lugar a reducción alguna de la sanción.</w:t>
      </w:r>
    </w:p>
    <w:p w14:paraId="045A3DE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4. Las administradoras del Sistema de la Protección Social que incumplan los estándares que la Unidad de Gestión Pensional y Parafiscales (UGPP) establezca para el cobro de las Contribuciones Parafiscales de la Protección Social, serán sancionadas hasta por doscientas (200) UVT.</w:t>
      </w:r>
    </w:p>
    <w:p w14:paraId="045A3DE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Las sanciones mensuales a que se refiere el inciso anterior, se determinarán en un solo proceso sancionatorio por los incumplimientos ocurridos en la respectiva vigencia fiscal.</w:t>
      </w:r>
    </w:p>
    <w:p w14:paraId="045A3DE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todo caso, el tope máximo de la sanción aplicable en la respectiva vigencia fiscal, será de hasta dos mil cuatrocientas (2.400) UVT.</w:t>
      </w:r>
    </w:p>
    <w:p w14:paraId="045A3DE3"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 xml:space="preserve">Se faculta a la Unidad de Gestión Pensional y Parafiscales (UGPP) para imponer sanción equivalente a 15.000 UVT, a las asociaciones o agremiaciones y demás personas naturales o jurídicas, que realicen afiliaciones colectivas de trabajadores independientes sin estar autorizadas por las autoridades competentes, previo pliego de cargos, para cuya respuesta se otorgará un mes contado a partir de su notificación; vencido el termino señalado para la respuesta, la Unidad de Gestión Pensional y Parafiscales (UGPP) proferirá resolución sanción dentro de los 3 meses siguientes si hay lugar a ello, contra la cual procederá únicamente el recurso de reposición consagrado en el artículo 74 del </w:t>
      </w:r>
      <w:r w:rsidR="00805988">
        <w:rPr>
          <w:rFonts w:ascii="Times New Roman" w:hAnsi="Times New Roman"/>
          <w:i/>
        </w:rPr>
        <w:t>*</w:t>
      </w:r>
      <w:r w:rsidR="00040448" w:rsidRPr="00F53530">
        <w:rPr>
          <w:rFonts w:ascii="Times New Roman" w:hAnsi="Times New Roman"/>
          <w:i/>
        </w:rPr>
        <w:t>Código de Procedimiento Administrativo y de lo Contencioso Administrativo.</w:t>
      </w:r>
    </w:p>
    <w:p w14:paraId="045A3DE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De la sanción impuesta se dará aviso a la autoridad de vigilancia según su naturaleza con el fin de que se ordene la cancelación del registro y/o cierre del establecimiento, sin perjuicio de las acciones penales a que haya lugar por parte de las autoridades competentes.</w:t>
      </w:r>
    </w:p>
    <w:p w14:paraId="045A3DE5" w14:textId="77777777" w:rsidR="00040448" w:rsidRDefault="00280B8A" w:rsidP="00C44821">
      <w:pPr>
        <w:spacing w:before="240" w:after="240" w:line="240" w:lineRule="auto"/>
        <w:jc w:val="both"/>
        <w:rPr>
          <w:rFonts w:ascii="Times New Roman" w:hAnsi="Times New Roman"/>
        </w:rPr>
      </w:pPr>
      <w:r w:rsidRPr="009A77AA">
        <w:rPr>
          <w:rFonts w:ascii="Times New Roman" w:hAnsi="Times New Roman"/>
          <w:b/>
          <w:bCs/>
          <w:i/>
        </w:rPr>
        <w:t>PARÁGRAFO 4.</w:t>
      </w:r>
      <w:r w:rsidRPr="00F53530">
        <w:rPr>
          <w:rFonts w:ascii="Times New Roman" w:hAnsi="Times New Roman"/>
          <w:i/>
        </w:rPr>
        <w:t xml:space="preserve"> </w:t>
      </w:r>
      <w:r w:rsidR="00040448" w:rsidRPr="00F53530">
        <w:rPr>
          <w:rFonts w:ascii="Times New Roman" w:hAnsi="Times New Roman"/>
          <w:i/>
        </w:rPr>
        <w:t xml:space="preserve">Las sanciones por omisión, inexactitud y mora de que trata el presente artículo, se impondrán sin perjuicio del cobro de los respectivos intereses moratorios y/o cálculo actuarial según corresponda; este último, será exigible en lo que respecta al Sistema General de Pensiones, tanto a los empleadores que por omisión no hubieren afiliado a sus trabajadores o reportado la novedad de vínculo laboral, en los términos señalados en la </w:t>
      </w:r>
      <w:r w:rsidR="00E01128">
        <w:rPr>
          <w:rFonts w:ascii="Times New Roman" w:hAnsi="Times New Roman"/>
          <w:i/>
        </w:rPr>
        <w:t>*</w:t>
      </w:r>
      <w:r w:rsidR="00040448" w:rsidRPr="00F53530">
        <w:rPr>
          <w:rFonts w:ascii="Times New Roman" w:hAnsi="Times New Roman"/>
          <w:i/>
        </w:rPr>
        <w:t>Ley 100 de 1993 y demás normas concordantes, como a los independientes, que por omisión no hubieren efectuado la respectiva afiliación o reportado la novedad de ingreso a dicho sistema estando obligados. En los demás casos, se cobrará intereses moratorios cuando se presente inexactitud o mora en todos los subsistemas del Sistema de la Protección Social y cuando se genere omisión en los subsistemas distintos al de pensiones</w:t>
      </w:r>
      <w:r w:rsidR="00040448" w:rsidRPr="00F53530">
        <w:rPr>
          <w:rFonts w:ascii="Times New Roman" w:hAnsi="Times New Roman"/>
        </w:rPr>
        <w:t>.</w:t>
      </w:r>
    </w:p>
    <w:p w14:paraId="045A3DE6" w14:textId="77777777" w:rsidR="00E01128" w:rsidRPr="00F53530" w:rsidRDefault="00E01128"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00805988">
        <w:rPr>
          <w:rFonts w:ascii="Times New Roman" w:hAnsi="Times New Roman"/>
          <w:highlight w:val="green"/>
        </w:rPr>
        <w:t xml:space="preserve"> y al Código de Procedimiento Administrativo y de lo Contencioso Administrativo</w:t>
      </w:r>
      <w:r w:rsidRPr="00C92E66">
        <w:rPr>
          <w:rFonts w:ascii="Times New Roman" w:hAnsi="Times New Roman"/>
          <w:highlight w:val="green"/>
        </w:rPr>
        <w:t>, le sugerimos remitirse a la publicación de nuestro Grupo Editorial Nueva Legislación “</w:t>
      </w:r>
      <w:r>
        <w:rPr>
          <w:rFonts w:ascii="Times New Roman" w:hAnsi="Times New Roman"/>
          <w:highlight w:val="green"/>
        </w:rPr>
        <w:t>Sistema de Seguridad Social Integral</w:t>
      </w:r>
      <w:r w:rsidRPr="00C92E66">
        <w:rPr>
          <w:rFonts w:ascii="Times New Roman" w:hAnsi="Times New Roman"/>
          <w:highlight w:val="green"/>
        </w:rPr>
        <w:t>”</w:t>
      </w:r>
      <w:r w:rsidR="00805988">
        <w:rPr>
          <w:rFonts w:ascii="Times New Roman" w:hAnsi="Times New Roman"/>
          <w:highlight w:val="green"/>
        </w:rPr>
        <w:t xml:space="preserve"> y </w:t>
      </w:r>
      <w:r w:rsidR="00805988" w:rsidRPr="00C92E66">
        <w:rPr>
          <w:rFonts w:ascii="Times New Roman" w:hAnsi="Times New Roman"/>
          <w:highlight w:val="green"/>
        </w:rPr>
        <w:t>“</w:t>
      </w:r>
      <w:r w:rsidR="00805988">
        <w:rPr>
          <w:rFonts w:ascii="Times New Roman" w:hAnsi="Times New Roman"/>
          <w:highlight w:val="green"/>
        </w:rPr>
        <w:t>Código de Procedimiento Administrativo y de lo Contencioso Administrativo</w:t>
      </w:r>
      <w:r w:rsidR="00805988" w:rsidRPr="00EA4B97">
        <w:rPr>
          <w:rFonts w:ascii="Times New Roman" w:hAnsi="Times New Roman"/>
          <w:highlight w:val="green"/>
        </w:rPr>
        <w:t>”.</w:t>
      </w:r>
    </w:p>
    <w:p w14:paraId="045A3DE7" w14:textId="77777777" w:rsidR="00040448" w:rsidRDefault="00040448" w:rsidP="00C44821">
      <w:pPr>
        <w:spacing w:before="240" w:after="240" w:line="240" w:lineRule="auto"/>
        <w:jc w:val="both"/>
        <w:rPr>
          <w:rFonts w:ascii="Times New Roman" w:hAnsi="Times New Roman"/>
        </w:rPr>
      </w:pPr>
      <w:r w:rsidRPr="00FD12DF">
        <w:rPr>
          <w:rFonts w:ascii="Times New Roman" w:hAnsi="Times New Roman"/>
          <w:b/>
          <w:bCs/>
        </w:rPr>
        <w:lastRenderedPageBreak/>
        <w:t>ARTÍCULO 122. SISTEMA ESPECÍFICO DE CARRERA ADMINISTRATIVA.</w:t>
      </w:r>
      <w:r w:rsidR="00BB46A0" w:rsidRPr="00F53530">
        <w:rPr>
          <w:rFonts w:ascii="Times New Roman" w:hAnsi="Times New Roman"/>
        </w:rPr>
        <w:t xml:space="preserve"> </w:t>
      </w:r>
      <w:r w:rsidRPr="00F53530">
        <w:rPr>
          <w:rFonts w:ascii="Times New Roman" w:hAnsi="Times New Roman"/>
        </w:rPr>
        <w:t>A efectos de fortalecer institucionalmente a la DIAN para que cuente con los medios idóneos para la recaudación, la fiscalización, la liquidación, la discusión y el cobro de las obligaciones tributarias, aduaneras y cambiarias, de conformidad con lo dispuesto por el artículo 150</w:t>
      </w:r>
      <w:r w:rsidR="009F6554" w:rsidRPr="00F53530">
        <w:rPr>
          <w:rFonts w:ascii="Times New Roman" w:hAnsi="Times New Roman"/>
        </w:rPr>
        <w:t>,</w:t>
      </w:r>
      <w:r w:rsidRPr="00F53530">
        <w:rPr>
          <w:rFonts w:ascii="Times New Roman" w:hAnsi="Times New Roman"/>
        </w:rPr>
        <w:t xml:space="preserve"> numeral 10 de la Constitución Política, revístese al Presidente de la República, por el término de un (1) mes contado a partir de la fecha de promulgación de la presente ley de facultades extraordinarias, para expedir decretos con fuerza de ley mediante los cuales se establezca y regule en su integridad el Sistema Específico de Carrera Administrativa de los servidores públicos de la Unidad Administrativa Especial Dirección de Impuestos y Aduanas Nacionales - UAE DIAN -- denominado carrera administrativa, de administración y control tributario, aduanero y cambiario, regulando la gestión y administración del talento humano de esa entidad, así como desarrollando todo lo concerniente al ingreso, permanencia, situaciones administrativas, movilidad, causales de retiro entre otros el voluntario a fin de garantizar la profesionalización y la excelencia de sus empleados, para cumplir su misión y objetivos, ofreciendo igualdad de oportunidades, posibilidad de movilidad en la carrera sobre la base del mérito, con observancia de los principios que orientan el ejercicio de la función pública de conformidad con lo establecido por el artículo 209 de la Constitución Política.</w:t>
      </w:r>
    </w:p>
    <w:p w14:paraId="045A3DE8" w14:textId="43525800" w:rsidR="002516F2" w:rsidRPr="00867732" w:rsidRDefault="002516F2" w:rsidP="002516F2">
      <w:pPr>
        <w:numPr>
          <w:ilvl w:val="0"/>
          <w:numId w:val="16"/>
        </w:numPr>
        <w:spacing w:after="0" w:line="240" w:lineRule="auto"/>
        <w:jc w:val="both"/>
        <w:rPr>
          <w:rFonts w:ascii="Times New Roman" w:hAnsi="Times New Roman"/>
          <w:highlight w:val="yellow"/>
        </w:rPr>
      </w:pPr>
      <w:hyperlink r:id="rId145" w:history="1">
        <w:r w:rsidRPr="00867732">
          <w:rPr>
            <w:rStyle w:val="Hipervnculo"/>
            <w:rFonts w:ascii="Times New Roman" w:hAnsi="Times New Roman"/>
            <w:b/>
            <w:highlight w:val="yellow"/>
          </w:rPr>
          <w:t>Decreto Único Reglamentario 1083 de 26 de mayo de 2015</w:t>
        </w:r>
      </w:hyperlink>
      <w:r w:rsidRPr="00867732">
        <w:rPr>
          <w:rFonts w:ascii="Times New Roman" w:hAnsi="Times New Roman"/>
          <w:b/>
          <w:highlight w:val="yellow"/>
        </w:rPr>
        <w:t xml:space="preserve">: </w:t>
      </w:r>
      <w:r w:rsidRPr="00867732">
        <w:rPr>
          <w:rFonts w:ascii="Times New Roman" w:hAnsi="Times New Roman"/>
          <w:highlight w:val="yellow"/>
        </w:rPr>
        <w:t>Arts. 2.2.18.1.1 al 2.2.18.7.2.</w:t>
      </w:r>
    </w:p>
    <w:p w14:paraId="045A3DE9" w14:textId="77777777" w:rsidR="002516F2" w:rsidRDefault="002516F2" w:rsidP="00C44821">
      <w:pPr>
        <w:spacing w:after="0" w:line="240" w:lineRule="auto"/>
        <w:jc w:val="both"/>
        <w:rPr>
          <w:rFonts w:ascii="Times New Roman" w:hAnsi="Times New Roman"/>
          <w:b/>
          <w:highlight w:val="yellow"/>
        </w:rPr>
      </w:pPr>
    </w:p>
    <w:p w14:paraId="045A3DEA" w14:textId="77777777" w:rsidR="00963283" w:rsidRPr="00963283" w:rsidRDefault="00963283" w:rsidP="00C44821">
      <w:pPr>
        <w:spacing w:after="0" w:line="240" w:lineRule="auto"/>
        <w:jc w:val="both"/>
        <w:rPr>
          <w:rFonts w:ascii="Times New Roman" w:hAnsi="Times New Roman"/>
          <w:b/>
          <w:highlight w:val="yellow"/>
        </w:rPr>
      </w:pPr>
      <w:r w:rsidRPr="00963283">
        <w:rPr>
          <w:rFonts w:ascii="Times New Roman" w:hAnsi="Times New Roman"/>
          <w:b/>
          <w:highlight w:val="yellow"/>
        </w:rPr>
        <w:t>CONCORDANCIAS:</w:t>
      </w:r>
    </w:p>
    <w:p w14:paraId="045A3DEB" w14:textId="21723475" w:rsidR="00963283" w:rsidRPr="00963283" w:rsidRDefault="00963283" w:rsidP="00C44821">
      <w:pPr>
        <w:numPr>
          <w:ilvl w:val="0"/>
          <w:numId w:val="1"/>
        </w:numPr>
        <w:spacing w:after="0" w:line="240" w:lineRule="auto"/>
        <w:jc w:val="both"/>
        <w:rPr>
          <w:rFonts w:ascii="Times New Roman" w:hAnsi="Times New Roman"/>
          <w:b/>
          <w:highlight w:val="yellow"/>
        </w:rPr>
      </w:pPr>
      <w:hyperlink r:id="rId146" w:history="1">
        <w:r w:rsidRPr="00963283">
          <w:rPr>
            <w:rStyle w:val="Hipervnculo"/>
            <w:rFonts w:ascii="Times New Roman" w:hAnsi="Times New Roman"/>
            <w:b/>
            <w:highlight w:val="yellow"/>
          </w:rPr>
          <w:t>Decreto-Ley 71 de 24 de enero de 2020</w:t>
        </w:r>
      </w:hyperlink>
      <w:r w:rsidRPr="00963283">
        <w:rPr>
          <w:rFonts w:ascii="Times New Roman" w:hAnsi="Times New Roman"/>
          <w:b/>
          <w:highlight w:val="yellow"/>
        </w:rPr>
        <w:t xml:space="preserve">: </w:t>
      </w:r>
      <w:r w:rsidRPr="00963283">
        <w:rPr>
          <w:rFonts w:ascii="Times New Roman" w:hAnsi="Times New Roman"/>
          <w:highlight w:val="yellow"/>
        </w:rPr>
        <w:t>Por el cual se establece y regula el Sistema Específico de Carrera de los empleados públicos de la Unidad Administrativa Especial Dirección de Impuestos y Aduanas Nacionales, y se expiden normas relacionadas con la administración y gestión del talento humano de la DIAN.</w:t>
      </w:r>
    </w:p>
    <w:p w14:paraId="045A3DEC" w14:textId="77777777" w:rsidR="00040448" w:rsidRPr="00F53530" w:rsidRDefault="00040448" w:rsidP="00C44821">
      <w:pPr>
        <w:spacing w:before="240" w:after="240" w:line="240" w:lineRule="auto"/>
        <w:jc w:val="both"/>
        <w:rPr>
          <w:rFonts w:ascii="Times New Roman" w:hAnsi="Times New Roman"/>
        </w:rPr>
      </w:pPr>
      <w:r w:rsidRPr="00E631B5">
        <w:rPr>
          <w:rFonts w:ascii="Times New Roman" w:hAnsi="Times New Roman"/>
          <w:b/>
          <w:bCs/>
        </w:rPr>
        <w:t>ARTÍCULO 123.</w:t>
      </w:r>
      <w:r w:rsidR="00E631B5">
        <w:rPr>
          <w:rFonts w:ascii="Times New Roman" w:hAnsi="Times New Roman"/>
          <w:b/>
          <w:bCs/>
        </w:rPr>
        <w:t xml:space="preserve"> </w:t>
      </w:r>
      <w:r w:rsidRPr="00F53530">
        <w:rPr>
          <w:rFonts w:ascii="Times New Roman" w:hAnsi="Times New Roman"/>
        </w:rPr>
        <w:t xml:space="preserve">Adiciónese el artículo 689-2 al </w:t>
      </w:r>
      <w:r w:rsidR="00754606">
        <w:rPr>
          <w:rFonts w:ascii="Times New Roman" w:hAnsi="Times New Roman"/>
        </w:rPr>
        <w:t>*</w:t>
      </w:r>
      <w:r w:rsidRPr="00F53530">
        <w:rPr>
          <w:rFonts w:ascii="Times New Roman" w:hAnsi="Times New Roman"/>
        </w:rPr>
        <w:t>Estatuto Tributario, el cual quedará así:</w:t>
      </w:r>
    </w:p>
    <w:p w14:paraId="045A3DE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Artículo 689-2</w:t>
      </w:r>
      <w:r w:rsidR="00280B8A" w:rsidRPr="00F53530">
        <w:rPr>
          <w:rFonts w:ascii="Times New Roman" w:hAnsi="Times New Roman"/>
          <w:i/>
        </w:rPr>
        <w:t>.</w:t>
      </w:r>
      <w:r w:rsidRPr="00F53530">
        <w:rPr>
          <w:rFonts w:ascii="Times New Roman" w:hAnsi="Times New Roman"/>
          <w:i/>
        </w:rPr>
        <w:t xml:space="preserve"> Beneficio de la auditoría. Para los periodos gravables 2020 y 2021, la liquidación privada de los contribuyentes del impuesto sobre la renta y complementarios que incrementen su impuesto neto de renta en por lo menos un porcentaje mínimo del treinta por ciento (30%), en relación con el impuesto neto de renta del año inmediatamente anterior, quedará en firme si dentro de los seis (6) meses siguientes a la fecha de su presentación no se hubiere notificado emplazamiento para corregir o requerimiento especial o emplazamiento especial o liquidación provisional, siempre que la declaración sea debidamente presentada en forma oportuna y el pago se realice en los plazos que para tal efecto fije el Gobierno nacional.</w:t>
      </w:r>
    </w:p>
    <w:p w14:paraId="045A3DEE"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Si el incremento del impuesto neto de renta es de al menos un porcentaje mínimo del veinte por ciento (20%), en relación con el impuesto neto de renta del año inmediatamente anterior, la declaración de renta quedará en firme si dentro de los doce (12) meses siguientes a la fecha de su presentación no se hubiere notificado emplazamiento para corregir o requerimiento especial o emplazamiento especial o liquidación provisional, siempre que la declaración sea debidamente presentada en forma oportuna y el pago se realice en los plazos que para tal efecto fije el Gobierno nacional.</w:t>
      </w:r>
    </w:p>
    <w:p w14:paraId="045A3DEF"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Esta norma no es aplicable a los contribuyentes que gocen de beneficios tributarios en razón a su ubicación en una zona geográfica determinada.</w:t>
      </w:r>
    </w:p>
    <w:p w14:paraId="045A3DF0"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Cuando la declaración objeto de beneficio de auditoría arroje una pérdida fiscal, la Administración Tributaria podrá ejercer las facultades de fiscalización para determinar la procedencia o improcedencia de la misma y por ende su compensación en años posteriores. Esta facultad se tendrá no obstante haya transcurrido el período de que trata el presente artículo.</w:t>
      </w:r>
    </w:p>
    <w:p w14:paraId="045A3DF1"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En el caso de los contribuyentes que en los años anteriores al periodo en que pretende acogerse al beneficio de auditoría, no hubieren presentado declaración de renta y complementarios, y cumplan con dicha obligación dentro de los plazos que señale el Gobierno nacional para presentar las declaraciones correspondientes al período gravable 2020, les serán aplicables los términos de firmeza de la liquidación prevista en este artículo, para lo cual deberán incrementar el impuesto neto de renta a cargo por dichos períodos en los porcentajes de que trata el presente artículo.</w:t>
      </w:r>
    </w:p>
    <w:p w14:paraId="045A3DF2"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Cuando se demuestre que las retenciones en la fuente declaradas son inexistentes, no procederá el beneficio de auditoría.</w:t>
      </w:r>
    </w:p>
    <w:p w14:paraId="045A3DF3"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Las declaraciones de corrección y solicitudes de corrección que se presenten antes del término de firmeza de que trata el presente artículo, no afectarán la validez del beneficio de auditoría, siempre y cuando en la declaración inicial el contribuyente cumpla con los requisitos de presentación oportuna, incremento del impuesto neto sobre la renta, pago, y en las correcciones dichos requisitos se mantengan.</w:t>
      </w:r>
    </w:p>
    <w:p w14:paraId="045A3DF4"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Cuando el impuesto neto sobre la renta de la declaración correspondiente al año gravable frente al cual debe cumplirse el requisito del incremento, sea inferior a 71 UVT, no procederá la aplicación del beneficio de auditoría.</w:t>
      </w:r>
    </w:p>
    <w:p w14:paraId="045A3DF5"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3.</w:t>
      </w:r>
      <w:r w:rsidRPr="00F53530">
        <w:rPr>
          <w:rFonts w:ascii="Times New Roman" w:hAnsi="Times New Roman"/>
          <w:i/>
        </w:rPr>
        <w:t xml:space="preserve"> </w:t>
      </w:r>
      <w:r w:rsidR="00040448" w:rsidRPr="00F53530">
        <w:rPr>
          <w:rFonts w:ascii="Times New Roman" w:hAnsi="Times New Roman"/>
          <w:i/>
        </w:rPr>
        <w:t>Cuando se trate de declaraciones que registren saldo a favor, el término para solicitar la devolución y/o compensación será el previsto en este artículo, para la firmeza de la declaración.</w:t>
      </w:r>
    </w:p>
    <w:p w14:paraId="045A3DF6"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4.</w:t>
      </w:r>
      <w:r w:rsidR="00A03C6F" w:rsidRPr="00F53530">
        <w:rPr>
          <w:rFonts w:ascii="Times New Roman" w:hAnsi="Times New Roman"/>
          <w:i/>
        </w:rPr>
        <w:t xml:space="preserve"> </w:t>
      </w:r>
      <w:r w:rsidR="00040448" w:rsidRPr="00F53530">
        <w:rPr>
          <w:rFonts w:ascii="Times New Roman" w:hAnsi="Times New Roman"/>
          <w:i/>
        </w:rPr>
        <w:t xml:space="preserve">Los términos de firmeza previstos en el presente artículo no serán aplicables en relación con las declaraciones privadas del impuesto sobre las ventas y de retención en la fuente por los períodos comprendidos en los años 2020 y 2021, las cuales se regirán en esta materia por lo previsto en los artículos 705 y 714 del </w:t>
      </w:r>
      <w:r w:rsidR="00754606">
        <w:rPr>
          <w:rFonts w:ascii="Times New Roman" w:hAnsi="Times New Roman"/>
          <w:i/>
        </w:rPr>
        <w:t>*</w:t>
      </w:r>
      <w:r w:rsidR="00040448" w:rsidRPr="00F53530">
        <w:rPr>
          <w:rFonts w:ascii="Times New Roman" w:hAnsi="Times New Roman"/>
          <w:i/>
        </w:rPr>
        <w:t>Estatuto Tributario.</w:t>
      </w:r>
    </w:p>
    <w:p w14:paraId="045A3DF7" w14:textId="51E6E852" w:rsidR="00040448"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5.</w:t>
      </w:r>
      <w:r w:rsidRPr="00F53530">
        <w:rPr>
          <w:rFonts w:ascii="Times New Roman" w:hAnsi="Times New Roman"/>
          <w:i/>
        </w:rPr>
        <w:t xml:space="preserve"> </w:t>
      </w:r>
      <w:r w:rsidR="00040448" w:rsidRPr="00F53530">
        <w:rPr>
          <w:rFonts w:ascii="Times New Roman" w:hAnsi="Times New Roman"/>
          <w:i/>
        </w:rPr>
        <w:t xml:space="preserve">Las disposiciones consagradas en el artículo 105 de la </w:t>
      </w:r>
      <w:hyperlink r:id="rId147" w:history="1">
        <w:r w:rsidR="00040448" w:rsidRPr="00FB68BE">
          <w:rPr>
            <w:rStyle w:val="Hipervnculo"/>
            <w:rFonts w:ascii="Times New Roman" w:hAnsi="Times New Roman"/>
            <w:i/>
          </w:rPr>
          <w:t>Ley 1943 de 2018</w:t>
        </w:r>
      </w:hyperlink>
      <w:r w:rsidR="00040448" w:rsidRPr="00F53530">
        <w:rPr>
          <w:rFonts w:ascii="Times New Roman" w:hAnsi="Times New Roman"/>
          <w:i/>
        </w:rPr>
        <w:t xml:space="preserve"> surtirán los efectos allí dispuestos para los contribuyentes que se hayan acogido al beneficio de auditoría por el año gravable 2019.</w:t>
      </w:r>
    </w:p>
    <w:p w14:paraId="045A3DF8" w14:textId="77777777" w:rsidR="00754606" w:rsidRPr="00F53530" w:rsidRDefault="00754606"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DF9" w14:textId="77777777" w:rsidR="00040448" w:rsidRPr="00F53530" w:rsidRDefault="00040448" w:rsidP="00C44821">
      <w:pPr>
        <w:spacing w:before="240" w:after="240" w:line="240" w:lineRule="auto"/>
        <w:jc w:val="both"/>
        <w:rPr>
          <w:rFonts w:ascii="Times New Roman" w:hAnsi="Times New Roman"/>
        </w:rPr>
      </w:pPr>
      <w:r w:rsidRPr="00E631B5">
        <w:rPr>
          <w:rFonts w:ascii="Times New Roman" w:hAnsi="Times New Roman"/>
          <w:b/>
          <w:bCs/>
        </w:rPr>
        <w:t>ARTÍCULO 124. ACUERDO DE PAGO IVA ACTIVIDADES DECLARADAS COMO PATRIMONIO CULTURAL.</w:t>
      </w:r>
      <w:r w:rsidR="00E631B5">
        <w:rPr>
          <w:rFonts w:ascii="Times New Roman" w:hAnsi="Times New Roman"/>
          <w:b/>
          <w:bCs/>
        </w:rPr>
        <w:t xml:space="preserve"> </w:t>
      </w:r>
      <w:r w:rsidRPr="00F53530">
        <w:rPr>
          <w:rFonts w:ascii="Times New Roman" w:hAnsi="Times New Roman"/>
        </w:rPr>
        <w:t>Hasta el treinta (30) de junio de 2020, las entidades sin ánimo de lucro que organizan actividades de las artes escénicas, declaradas y reconocidas como patrimonio cultural de la Nación a la fecha de entrada en vigencia de la presente ley, podrán solicitar y suscribir facilidades de pago con la Unidad Administrativa Especial Dirección de Impuestos y Aduanas Nacionales (DIAN), por concepto de las obligaciones sustanciales contenidas en las declaraciones de retención en la fuente e impuesto sobre las ventas (IVA) con causal de ineficacia presentadas con anterioridad a la vigencia de la presente ley. En este caso, con la presentación de la solicitud de la facilidad de pago se entiende que el contribuyente, responsable o agente retenedor reconoce la respectiva obligación sustancial como clara, expresa y exigible.</w:t>
      </w:r>
    </w:p>
    <w:p w14:paraId="045A3DFA" w14:textId="77777777" w:rsidR="00040448" w:rsidRDefault="00040448" w:rsidP="00C44821">
      <w:pPr>
        <w:spacing w:before="240" w:after="240" w:line="240" w:lineRule="auto"/>
        <w:jc w:val="both"/>
        <w:rPr>
          <w:rFonts w:ascii="Times New Roman" w:hAnsi="Times New Roman"/>
        </w:rPr>
      </w:pPr>
      <w:r w:rsidRPr="00F53530">
        <w:rPr>
          <w:rFonts w:ascii="Times New Roman" w:hAnsi="Times New Roman"/>
        </w:rPr>
        <w:t xml:space="preserve">Adicionalmente las entidades de que trata el inciso anterior del presente artículo, podrán ofrecer como garantía para el trámite de las facilidades de pago previo visto bueno del Ministerio de Cultura, los ingresos percibidos o que se perciban por la venta de boletería. La facilidad de pago podrá ser </w:t>
      </w:r>
      <w:r w:rsidRPr="00F53530">
        <w:rPr>
          <w:rFonts w:ascii="Times New Roman" w:hAnsi="Times New Roman"/>
        </w:rPr>
        <w:lastRenderedPageBreak/>
        <w:t xml:space="preserve">aprobada hasta por un término de siete (7) años conforme con lo previsto en el artículo 814 del </w:t>
      </w:r>
      <w:r w:rsidR="00754606">
        <w:rPr>
          <w:rFonts w:ascii="Times New Roman" w:hAnsi="Times New Roman"/>
        </w:rPr>
        <w:t>*</w:t>
      </w:r>
      <w:r w:rsidRPr="00F53530">
        <w:rPr>
          <w:rFonts w:ascii="Times New Roman" w:hAnsi="Times New Roman"/>
        </w:rPr>
        <w:t>Estatuto Tributario. El Ministerio de Cultura y la Unidad Administrativa Especial Dirección de Impuestos y Aduanas Nacionales (DIAN) de manera conjunta mediante resolución establecerán el procedimiento para la suscripción de las facilidades de pago.</w:t>
      </w:r>
    </w:p>
    <w:p w14:paraId="045A3DFB" w14:textId="77777777" w:rsidR="00754606" w:rsidRPr="00F53530" w:rsidRDefault="00754606"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DFC" w14:textId="77777777" w:rsidR="00F53530" w:rsidRDefault="00040448" w:rsidP="00C44821">
      <w:pPr>
        <w:pStyle w:val="Ttulo1"/>
      </w:pPr>
      <w:r w:rsidRPr="00F53530">
        <w:t>TÍTULO VII</w:t>
      </w:r>
      <w:r w:rsidR="00E631B5">
        <w:br/>
      </w:r>
      <w:r w:rsidRPr="00F53530">
        <w:t>DISPOSICIONES FINALES</w:t>
      </w:r>
    </w:p>
    <w:p w14:paraId="045A3DFD" w14:textId="2C9E2308" w:rsidR="00040448" w:rsidRPr="00F53530" w:rsidRDefault="00040448" w:rsidP="00C44821">
      <w:pPr>
        <w:spacing w:before="240" w:after="240" w:line="240" w:lineRule="auto"/>
        <w:jc w:val="both"/>
        <w:rPr>
          <w:rFonts w:ascii="Times New Roman" w:hAnsi="Times New Roman"/>
        </w:rPr>
      </w:pPr>
      <w:r w:rsidRPr="00E631B5">
        <w:rPr>
          <w:rFonts w:ascii="Times New Roman" w:hAnsi="Times New Roman"/>
          <w:b/>
          <w:bCs/>
        </w:rPr>
        <w:t>ARTÍCULO 125. COMISIÓN DE ESTUDIO DEL SISTEMA TRIBUTARIO TERRITORIAL.</w:t>
      </w:r>
      <w:r w:rsidR="00E631B5">
        <w:rPr>
          <w:rFonts w:ascii="Times New Roman" w:hAnsi="Times New Roman"/>
          <w:b/>
          <w:bCs/>
        </w:rPr>
        <w:t xml:space="preserve"> </w:t>
      </w:r>
      <w:r w:rsidRPr="00F53530">
        <w:rPr>
          <w:rFonts w:ascii="Times New Roman" w:hAnsi="Times New Roman"/>
        </w:rPr>
        <w:t xml:space="preserve">La Comisión de Expertos ad honórem para estudiar el régimen aplicable a los impuestos, tasas y contribuciones de carácter departamental, distrital y municipal creada en cumplimiento de lo establecido en el artículo 106 de la </w:t>
      </w:r>
      <w:hyperlink r:id="rId148" w:history="1">
        <w:r w:rsidRPr="00FB68BE">
          <w:rPr>
            <w:rStyle w:val="Hipervnculo"/>
            <w:rFonts w:ascii="Times New Roman" w:hAnsi="Times New Roman"/>
          </w:rPr>
          <w:t>Ley 1943 de 2018</w:t>
        </w:r>
      </w:hyperlink>
      <w:r w:rsidRPr="00F53530">
        <w:rPr>
          <w:rFonts w:ascii="Times New Roman" w:hAnsi="Times New Roman"/>
        </w:rPr>
        <w:t>, con el objeto de proponer una reforma orientada a hacer el sistema tributario territorial más eficiente, reactivar la economía de las regiones, y combatir la evasión y la elusión fiscal, deberá entregar sus propuestas al Ministro de Hacienda y Crédito Público máximo en seis (6) meses contados a partir de la entrada en vigencia de la presente ley.</w:t>
      </w:r>
    </w:p>
    <w:p w14:paraId="045A3DFE"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Para el efecto, continuarán vigentes las disposiciones reglamentarias expedidas en desarrollo del referido artículo.</w:t>
      </w:r>
    </w:p>
    <w:p w14:paraId="045A3DFF" w14:textId="77777777" w:rsidR="00040448" w:rsidRPr="00F53530" w:rsidRDefault="00040448" w:rsidP="00C44821">
      <w:pPr>
        <w:spacing w:before="240" w:after="240" w:line="240" w:lineRule="auto"/>
        <w:jc w:val="both"/>
        <w:rPr>
          <w:rFonts w:ascii="Times New Roman" w:hAnsi="Times New Roman"/>
        </w:rPr>
      </w:pPr>
      <w:r w:rsidRPr="00E631B5">
        <w:rPr>
          <w:rFonts w:ascii="Times New Roman" w:hAnsi="Times New Roman"/>
          <w:b/>
          <w:bCs/>
        </w:rPr>
        <w:t>ARTÍCULO 126.</w:t>
      </w:r>
      <w:r w:rsidR="00E631B5">
        <w:rPr>
          <w:rFonts w:ascii="Times New Roman" w:hAnsi="Times New Roman"/>
          <w:b/>
          <w:bCs/>
        </w:rPr>
        <w:t xml:space="preserve"> </w:t>
      </w:r>
      <w:r w:rsidRPr="00F53530">
        <w:rPr>
          <w:rFonts w:ascii="Times New Roman" w:hAnsi="Times New Roman"/>
        </w:rPr>
        <w:t>Facúltese a los entes territoriales para conceder beneficios temporales de hasta un setenta por ciento (70%) en el pago de los intereses moratorios que se hayan generado en el no pago de las multas, sanciones y otros conceptos de naturaleza no tributaria.</w:t>
      </w:r>
    </w:p>
    <w:p w14:paraId="045A3E00"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Para acceder a lo dispuesto en el presente artículo, el interesado deberá cancelar la totalidad del capital adeudado y el porcentaje restante de los intereses moratorios.</w:t>
      </w:r>
    </w:p>
    <w:p w14:paraId="045A3E01" w14:textId="77777777" w:rsidR="00040448" w:rsidRPr="00F53530" w:rsidRDefault="00280B8A" w:rsidP="00C44821">
      <w:pPr>
        <w:spacing w:before="240" w:after="240" w:line="240" w:lineRule="auto"/>
        <w:jc w:val="both"/>
        <w:rPr>
          <w:rFonts w:ascii="Times New Roman" w:hAnsi="Times New Roman"/>
        </w:rPr>
      </w:pPr>
      <w:r w:rsidRPr="00E631B5">
        <w:rPr>
          <w:rFonts w:ascii="Times New Roman" w:hAnsi="Times New Roman"/>
          <w:b/>
          <w:bCs/>
        </w:rPr>
        <w:t xml:space="preserve">PARÁGRAFO 1. </w:t>
      </w:r>
      <w:r w:rsidR="00040448" w:rsidRPr="00F53530">
        <w:rPr>
          <w:rFonts w:ascii="Times New Roman" w:hAnsi="Times New Roman"/>
        </w:rPr>
        <w:t>Las Asambleas Departamentales y los Concejos Municipales y Distritales, serán las entidades competentes para establecer los porcentajes de los beneficios temporales, así como para fijar los requisitos, términos y condiciones que aplicará en su jurisdicción.</w:t>
      </w:r>
    </w:p>
    <w:p w14:paraId="045A3E02" w14:textId="77777777" w:rsidR="00040448" w:rsidRPr="00F53530" w:rsidRDefault="00280B8A" w:rsidP="00C44821">
      <w:pPr>
        <w:spacing w:before="240" w:after="240" w:line="240" w:lineRule="auto"/>
        <w:jc w:val="both"/>
        <w:rPr>
          <w:rFonts w:ascii="Times New Roman" w:hAnsi="Times New Roman"/>
        </w:rPr>
      </w:pPr>
      <w:r w:rsidRPr="00E631B5">
        <w:rPr>
          <w:rFonts w:ascii="Times New Roman" w:hAnsi="Times New Roman"/>
          <w:b/>
          <w:bCs/>
        </w:rPr>
        <w:t>PARÁGRAFO 2</w:t>
      </w:r>
      <w:r w:rsidRPr="00F53530">
        <w:rPr>
          <w:rFonts w:ascii="Times New Roman" w:hAnsi="Times New Roman"/>
        </w:rPr>
        <w:t>.</w:t>
      </w:r>
      <w:r w:rsidR="00A03C6F" w:rsidRPr="00F53530">
        <w:rPr>
          <w:rFonts w:ascii="Times New Roman" w:hAnsi="Times New Roman"/>
        </w:rPr>
        <w:t xml:space="preserve"> </w:t>
      </w:r>
      <w:r w:rsidR="00040448" w:rsidRPr="00F53530">
        <w:rPr>
          <w:rFonts w:ascii="Times New Roman" w:hAnsi="Times New Roman"/>
        </w:rPr>
        <w:t>Los beneficios temporales estarán vigentes por un término que no podrá exceder del 31 de octubre de 2020, fecha en la cual deben haberse realizado los pagos correspondientes.</w:t>
      </w:r>
    </w:p>
    <w:p w14:paraId="045A3E03" w14:textId="36E246A3" w:rsidR="00040448" w:rsidRPr="00F53530" w:rsidRDefault="00040448" w:rsidP="00C44821">
      <w:pPr>
        <w:spacing w:before="240" w:after="240" w:line="240" w:lineRule="auto"/>
        <w:jc w:val="both"/>
        <w:rPr>
          <w:rFonts w:ascii="Times New Roman" w:hAnsi="Times New Roman"/>
        </w:rPr>
      </w:pPr>
      <w:r w:rsidRPr="00E631B5">
        <w:rPr>
          <w:rFonts w:ascii="Times New Roman" w:hAnsi="Times New Roman"/>
          <w:b/>
          <w:bCs/>
        </w:rPr>
        <w:t>ARTÍCULO 127.</w:t>
      </w:r>
      <w:r w:rsidR="00E631B5">
        <w:rPr>
          <w:rFonts w:ascii="Times New Roman" w:hAnsi="Times New Roman"/>
        </w:rPr>
        <w:t xml:space="preserve"> </w:t>
      </w:r>
      <w:r w:rsidRPr="00F53530">
        <w:rPr>
          <w:rFonts w:ascii="Times New Roman" w:hAnsi="Times New Roman"/>
        </w:rPr>
        <w:t xml:space="preserve">Modifíquese el artículo 23 de la </w:t>
      </w:r>
      <w:hyperlink r:id="rId149" w:history="1">
        <w:r w:rsidRPr="00F50CA6">
          <w:rPr>
            <w:rStyle w:val="Hipervnculo"/>
            <w:rFonts w:ascii="Times New Roman" w:hAnsi="Times New Roman"/>
          </w:rPr>
          <w:t>Ley 679 de 2001</w:t>
        </w:r>
      </w:hyperlink>
      <w:r w:rsidRPr="00F53530">
        <w:rPr>
          <w:rFonts w:ascii="Times New Roman" w:hAnsi="Times New Roman"/>
        </w:rPr>
        <w:t>, el cual quedará así:</w:t>
      </w:r>
    </w:p>
    <w:p w14:paraId="045A3E04" w14:textId="77777777" w:rsidR="00040448" w:rsidRPr="00F53530" w:rsidRDefault="00040448" w:rsidP="00C44821">
      <w:pPr>
        <w:spacing w:before="240" w:after="240" w:line="240" w:lineRule="auto"/>
        <w:jc w:val="both"/>
        <w:rPr>
          <w:rFonts w:ascii="Times New Roman" w:hAnsi="Times New Roman"/>
          <w:i/>
        </w:rPr>
      </w:pPr>
      <w:r w:rsidRPr="009A77AA">
        <w:rPr>
          <w:rFonts w:ascii="Times New Roman" w:hAnsi="Times New Roman"/>
          <w:b/>
          <w:bCs/>
          <w:i/>
        </w:rPr>
        <w:t>Artículo 23</w:t>
      </w:r>
      <w:r w:rsidR="00280B8A" w:rsidRPr="009A77AA">
        <w:rPr>
          <w:rFonts w:ascii="Times New Roman" w:hAnsi="Times New Roman"/>
          <w:b/>
          <w:bCs/>
          <w:i/>
        </w:rPr>
        <w:t>.</w:t>
      </w:r>
      <w:r w:rsidRPr="009A77AA">
        <w:rPr>
          <w:rFonts w:ascii="Times New Roman" w:hAnsi="Times New Roman"/>
          <w:b/>
          <w:bCs/>
          <w:i/>
        </w:rPr>
        <w:t xml:space="preserve"> Impuesto de salida</w:t>
      </w:r>
      <w:r w:rsidRPr="00F53530">
        <w:rPr>
          <w:rFonts w:ascii="Times New Roman" w:hAnsi="Times New Roman"/>
          <w:i/>
        </w:rPr>
        <w:t>. Los nacionales y extranjeros, residentes o no en Colombia, que salgan del país por vía aérea, cancelarán el valor correspondiente a un dólar de los Estados Unidos de América, o su equivalente en pesos colombianos, al momento de la compra del tiquete aéreo. Dicho recaudo estará a cargo del ICBF, y su destino será la financiación de los planes y programas de prevención y lucha contra la explotación sexual y la pornografía con menores de edad.</w:t>
      </w:r>
    </w:p>
    <w:p w14:paraId="045A3E0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Gobierno nacional reglamentará la materia.</w:t>
      </w:r>
    </w:p>
    <w:p w14:paraId="045A3E06" w14:textId="312085D2" w:rsidR="00040448" w:rsidRPr="00F53530" w:rsidRDefault="00040448" w:rsidP="00C44821">
      <w:pPr>
        <w:spacing w:before="240" w:after="240" w:line="240" w:lineRule="auto"/>
        <w:jc w:val="both"/>
        <w:rPr>
          <w:rFonts w:ascii="Times New Roman" w:hAnsi="Times New Roman"/>
        </w:rPr>
      </w:pPr>
      <w:r w:rsidRPr="00E631B5">
        <w:rPr>
          <w:rFonts w:ascii="Times New Roman" w:hAnsi="Times New Roman"/>
          <w:b/>
          <w:bCs/>
        </w:rPr>
        <w:t>ARTÍCULO 128.</w:t>
      </w:r>
      <w:r w:rsidR="00E631B5">
        <w:rPr>
          <w:rFonts w:ascii="Times New Roman" w:hAnsi="Times New Roman"/>
          <w:b/>
          <w:bCs/>
        </w:rPr>
        <w:t xml:space="preserve"> </w:t>
      </w:r>
      <w:r w:rsidRPr="00F53530">
        <w:rPr>
          <w:rFonts w:ascii="Times New Roman" w:hAnsi="Times New Roman"/>
        </w:rPr>
        <w:t xml:space="preserve">Modifíquese el artículo 4 de la </w:t>
      </w:r>
      <w:hyperlink r:id="rId150" w:history="1">
        <w:r w:rsidRPr="00F50CA6">
          <w:rPr>
            <w:rStyle w:val="Hipervnculo"/>
            <w:rFonts w:ascii="Times New Roman" w:hAnsi="Times New Roman"/>
          </w:rPr>
          <w:t>Ley 1101 de 2006</w:t>
        </w:r>
      </w:hyperlink>
      <w:r w:rsidRPr="00F53530">
        <w:rPr>
          <w:rFonts w:ascii="Times New Roman" w:hAnsi="Times New Roman"/>
        </w:rPr>
        <w:t xml:space="preserve"> el cual quedará así:</w:t>
      </w:r>
    </w:p>
    <w:p w14:paraId="045A3E07" w14:textId="77777777" w:rsidR="00040448" w:rsidRPr="00F53530" w:rsidRDefault="00040448" w:rsidP="00C44821">
      <w:pPr>
        <w:spacing w:before="240" w:after="240" w:line="240" w:lineRule="auto"/>
        <w:jc w:val="both"/>
        <w:rPr>
          <w:rFonts w:ascii="Times New Roman" w:hAnsi="Times New Roman"/>
          <w:i/>
        </w:rPr>
      </w:pPr>
      <w:r w:rsidRPr="009A77AA">
        <w:rPr>
          <w:rFonts w:ascii="Times New Roman" w:hAnsi="Times New Roman"/>
          <w:b/>
          <w:bCs/>
          <w:i/>
        </w:rPr>
        <w:lastRenderedPageBreak/>
        <w:t>Artículo 4</w:t>
      </w:r>
      <w:r w:rsidR="00280B8A" w:rsidRPr="009A77AA">
        <w:rPr>
          <w:rFonts w:ascii="Times New Roman" w:hAnsi="Times New Roman"/>
          <w:b/>
          <w:bCs/>
          <w:i/>
        </w:rPr>
        <w:t>.</w:t>
      </w:r>
      <w:r w:rsidRPr="009A77AA">
        <w:rPr>
          <w:rFonts w:ascii="Times New Roman" w:hAnsi="Times New Roman"/>
          <w:b/>
          <w:bCs/>
          <w:i/>
        </w:rPr>
        <w:t xml:space="preserve"> Impuesto con destino al turismo como inversión social.</w:t>
      </w:r>
      <w:r w:rsidRPr="00F53530">
        <w:rPr>
          <w:rFonts w:ascii="Times New Roman" w:hAnsi="Times New Roman"/>
          <w:i/>
        </w:rPr>
        <w:t xml:space="preserve"> Créase el impuesto nacional con destino al turismo como inversión social mediante la promoción y el fortalecimiento de la competitividad que comprende la capacitación y la calidad turísticas.</w:t>
      </w:r>
    </w:p>
    <w:p w14:paraId="045A3E0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hecho generador del impuesto con destino al turismo es la compra de tiquetes aéreos de pasajeros, en transporte aéreo de tráfico internacional, cuyo viaje incluya el territorio colombiano y su origen sea el exterior.</w:t>
      </w:r>
    </w:p>
    <w:p w14:paraId="045A3E0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sujeto activo del impuesto con destino al turismo será la Nación -- Ministerio de Hacienda y Crédito Público. Son sujetos pasivos del impuesto con destino al turismo, todos los pasajeros cuyo tiquete de viaje incluya a Colombia, en medios de transporte aéreo de tráfico internacional. No serán sujetos pasivos del impuesto los pasajeros que vengan al territorio colombiano en tránsito o en conexión internacional.</w:t>
      </w:r>
    </w:p>
    <w:p w14:paraId="045A3E0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El impuesto con destino al turismo tendrá un valor de USD15 y deberá ser incluido por las empresas que presten de manera regular el servicio de transporte aéreo internacional de pasajeros, en el valor de los tiquetes o pasajes aéreos.</w:t>
      </w:r>
    </w:p>
    <w:p w14:paraId="045A3E0B" w14:textId="4352A1E2"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El valor del recaudo del impuesto para el turismo de que trata el artículo 4 de la </w:t>
      </w:r>
      <w:hyperlink r:id="rId151" w:history="1">
        <w:r w:rsidRPr="00F50CA6">
          <w:rPr>
            <w:rStyle w:val="Hipervnculo"/>
            <w:rFonts w:ascii="Times New Roman" w:hAnsi="Times New Roman"/>
            <w:i/>
          </w:rPr>
          <w:t>Ley 1101 de 2006</w:t>
        </w:r>
      </w:hyperlink>
      <w:r w:rsidRPr="00F53530">
        <w:rPr>
          <w:rFonts w:ascii="Times New Roman" w:hAnsi="Times New Roman"/>
          <w:i/>
        </w:rPr>
        <w:t>, lo tendrán a su cargo las empresas que presten de manera regular el servicio de transporte aéreo internacional de pasajeros y deberá ser declarado y pagado trimestralmente por estas en la cuenta que para estos efectos establezca el Ministerio de Comercio, Industria y Turismo y será apropiado en el Presupuesto General de la Nación en las vigencias fiscales correspondientes a su recaudo y en las subsiguientes. La generación del impuesto será la compra del tiquete.</w:t>
      </w:r>
    </w:p>
    <w:p w14:paraId="045A3E0C" w14:textId="77777777" w:rsidR="00040448" w:rsidRPr="00F53530" w:rsidRDefault="00040448" w:rsidP="00C44821">
      <w:pPr>
        <w:spacing w:before="240" w:after="240" w:line="240" w:lineRule="auto"/>
        <w:jc w:val="both"/>
        <w:rPr>
          <w:rFonts w:ascii="Times New Roman" w:hAnsi="Times New Roman"/>
        </w:rPr>
      </w:pPr>
      <w:r w:rsidRPr="00D415D8">
        <w:rPr>
          <w:rFonts w:ascii="Times New Roman" w:hAnsi="Times New Roman"/>
          <w:b/>
          <w:bCs/>
        </w:rPr>
        <w:t>ARTÍCULO 129. FONDO DE ESTABILIZACIÓN DEL INGRESO FISCAL (FEIF).</w:t>
      </w:r>
      <w:r w:rsidR="00D415D8">
        <w:rPr>
          <w:rFonts w:ascii="Times New Roman" w:hAnsi="Times New Roman"/>
          <w:b/>
          <w:bCs/>
        </w:rPr>
        <w:t xml:space="preserve"> </w:t>
      </w:r>
      <w:r w:rsidRPr="00F53530">
        <w:rPr>
          <w:rFonts w:ascii="Times New Roman" w:hAnsi="Times New Roman"/>
        </w:rPr>
        <w:t>Créase el Fondo de Estabilización del Ingreso Fiscal (FEIF), sin personería jurídica, adscrito al Ministerio de Hacienda y Crédito Público y administrado por este o las entidades que dicho Ministerio defina. El FEIF tendrá por objeto propender por la estabilización del ingreso fiscal de la Nación, proveniente de la producción y/o comercialización del petróleo a través de la gestión, adquisición y/o celebración de instrumentos y/o contratos que permitan el aseguramiento y/o cubrimiento de tales ingresos fiscales, con entidades extranjeras especializadas en este tipo de operaciones.</w:t>
      </w:r>
    </w:p>
    <w:p w14:paraId="045A3E0D"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Los recursos necesarios para el funcionamiento del FEIF podrán provenir de las siguientes fuentes:</w:t>
      </w:r>
    </w:p>
    <w:p w14:paraId="045A3E0E"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a) Los recursos del Presupuesto General de la Nación a favor del Fondo.</w:t>
      </w:r>
    </w:p>
    <w:p w14:paraId="045A3E0F"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b) Los ingresos generados por las coberturas de petróleo requeridos para renovar dichas coberturas.</w:t>
      </w:r>
    </w:p>
    <w:p w14:paraId="045A3E10"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c) Los rendimientos que genere el Fondo.</w:t>
      </w:r>
    </w:p>
    <w:p w14:paraId="045A3E11"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d) Las demás que determine el Gobierno nacional.</w:t>
      </w:r>
    </w:p>
    <w:p w14:paraId="045A3E12"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El administrador del FEIF podrá gestionar, adquirir y/o celebrar con entidades extranjeras los instrumentos y/o contratos de los que trata el presente artículo directamente o a través de terceros calificados, para lo cual requerirá disponibilidad presupuestal y se sujetará a las normas de derecho privado.</w:t>
      </w:r>
    </w:p>
    <w:p w14:paraId="045A3E13"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Las decisiones de cobertura deberán ser evaluadas de forma conjunta y en contexto con los ingresos fiscales petroleros, no por el desempeño de una operación individual sino como parte de una estrategia global de estabilidad fiscal y en condiciones de mercado. En algunos periodos determinados por </w:t>
      </w:r>
      <w:r w:rsidRPr="00F53530">
        <w:rPr>
          <w:rFonts w:ascii="Times New Roman" w:hAnsi="Times New Roman"/>
        </w:rPr>
        <w:lastRenderedPageBreak/>
        <w:t>condiciones adversas del mercado, se podrán observar operaciones cuyos resultados sean iguales a cero o negativos por la naturaleza de la cobertura.</w:t>
      </w:r>
    </w:p>
    <w:p w14:paraId="045A3E14"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El Gobierno nacional reglamentará la administración y funcionamiento del FEIF, así como los demás asuntos necesarios para el cabal cumplimiento de su objeto.</w:t>
      </w:r>
    </w:p>
    <w:p w14:paraId="045A3E15" w14:textId="77777777" w:rsidR="00040448" w:rsidRPr="00F53530" w:rsidRDefault="00280B8A" w:rsidP="00C44821">
      <w:pPr>
        <w:spacing w:before="240" w:after="240" w:line="240" w:lineRule="auto"/>
        <w:jc w:val="both"/>
        <w:rPr>
          <w:rFonts w:ascii="Times New Roman" w:hAnsi="Times New Roman"/>
        </w:rPr>
      </w:pPr>
      <w:r w:rsidRPr="00D415D8">
        <w:rPr>
          <w:rFonts w:ascii="Times New Roman" w:hAnsi="Times New Roman"/>
          <w:b/>
          <w:bCs/>
        </w:rPr>
        <w:t>PARÁGRAFO.</w:t>
      </w:r>
      <w:r w:rsidR="00A03C6F" w:rsidRPr="00F53530">
        <w:rPr>
          <w:rFonts w:ascii="Times New Roman" w:hAnsi="Times New Roman"/>
        </w:rPr>
        <w:t xml:space="preserve"> </w:t>
      </w:r>
      <w:r w:rsidR="00040448" w:rsidRPr="00F53530">
        <w:rPr>
          <w:rFonts w:ascii="Times New Roman" w:hAnsi="Times New Roman"/>
        </w:rPr>
        <w:t>El FEIF no podrá celebrar operaciones de crédito público y sus asimiladas.</w:t>
      </w:r>
    </w:p>
    <w:p w14:paraId="045A3E16" w14:textId="74A1D61C" w:rsidR="00812C72" w:rsidRPr="008A1004" w:rsidRDefault="00812C72" w:rsidP="008A1004">
      <w:pPr>
        <w:numPr>
          <w:ilvl w:val="0"/>
          <w:numId w:val="1"/>
        </w:numPr>
        <w:spacing w:before="240" w:after="240" w:line="240" w:lineRule="auto"/>
        <w:jc w:val="both"/>
        <w:rPr>
          <w:rFonts w:ascii="Times New Roman" w:hAnsi="Times New Roman"/>
          <w:b/>
          <w:bCs/>
          <w:highlight w:val="yellow"/>
        </w:rPr>
      </w:pPr>
      <w:hyperlink r:id="rId152" w:history="1">
        <w:r w:rsidRPr="008A1004">
          <w:rPr>
            <w:rStyle w:val="Hipervnculo"/>
            <w:rFonts w:ascii="Times New Roman" w:hAnsi="Times New Roman"/>
            <w:b/>
            <w:bCs/>
            <w:highlight w:val="yellow"/>
          </w:rPr>
          <w:t>Decreto Único Reglamentario 1068 de 26 de mayo de 2015</w:t>
        </w:r>
      </w:hyperlink>
      <w:r w:rsidRPr="008A1004">
        <w:rPr>
          <w:rFonts w:ascii="Times New Roman" w:hAnsi="Times New Roman"/>
          <w:b/>
          <w:bCs/>
          <w:highlight w:val="yellow"/>
        </w:rPr>
        <w:t xml:space="preserve">: </w:t>
      </w:r>
      <w:r w:rsidRPr="008A1004">
        <w:rPr>
          <w:rFonts w:ascii="Times New Roman" w:hAnsi="Times New Roman"/>
          <w:bCs/>
          <w:highlight w:val="yellow"/>
        </w:rPr>
        <w:t>Arts</w:t>
      </w:r>
      <w:r w:rsidR="008A1004" w:rsidRPr="008A1004">
        <w:rPr>
          <w:rFonts w:ascii="Times New Roman" w:hAnsi="Times New Roman"/>
          <w:bCs/>
          <w:highlight w:val="yellow"/>
        </w:rPr>
        <w:t>. 2.22.1.1 al 2.22.2.5.</w:t>
      </w:r>
    </w:p>
    <w:p w14:paraId="045A3E17" w14:textId="77777777" w:rsidR="00040448" w:rsidRPr="00F53530" w:rsidRDefault="00040448" w:rsidP="00C44821">
      <w:pPr>
        <w:spacing w:before="240" w:after="240" w:line="240" w:lineRule="auto"/>
        <w:jc w:val="both"/>
        <w:rPr>
          <w:rFonts w:ascii="Times New Roman" w:hAnsi="Times New Roman"/>
        </w:rPr>
      </w:pPr>
      <w:r w:rsidRPr="00D415D8">
        <w:rPr>
          <w:rFonts w:ascii="Times New Roman" w:hAnsi="Times New Roman"/>
          <w:b/>
          <w:bCs/>
        </w:rPr>
        <w:t>ARTÍCULO 130. INFORMACIÓN DEL SISTEMA DE GESTIÓN DE RIESGOS DE LA UNIDAD ADMINISTRATIVA ESPECIAL DIRECCIÓN DE IMPUESTOS Y ADUANAS NACIONALES.</w:t>
      </w:r>
      <w:r w:rsidR="00D415D8">
        <w:rPr>
          <w:rFonts w:ascii="Times New Roman" w:hAnsi="Times New Roman"/>
          <w:b/>
          <w:bCs/>
        </w:rPr>
        <w:t xml:space="preserve"> </w:t>
      </w:r>
      <w:r w:rsidRPr="00F53530">
        <w:rPr>
          <w:rFonts w:ascii="Times New Roman" w:hAnsi="Times New Roman"/>
        </w:rPr>
        <w:t>La información y procedimientos que administra el sistema de Gestión de Riesgos de la Dirección de Impuestos y Aduanas Nacionales (DIAN) tienen carácter reservado. Esta reserva especial le será oponible a particulares y a todas las entidades públicas, y solo podrá levantarse por orden de autoridad judicial competente.</w:t>
      </w:r>
    </w:p>
    <w:p w14:paraId="045A3E18" w14:textId="77777777" w:rsidR="00040448" w:rsidRPr="00F53530" w:rsidRDefault="00040448" w:rsidP="00C44821">
      <w:pPr>
        <w:spacing w:before="240" w:after="240" w:line="240" w:lineRule="auto"/>
        <w:jc w:val="both"/>
        <w:rPr>
          <w:rFonts w:ascii="Times New Roman" w:hAnsi="Times New Roman"/>
        </w:rPr>
      </w:pPr>
      <w:r w:rsidRPr="00D415D8">
        <w:rPr>
          <w:rFonts w:ascii="Times New Roman" w:hAnsi="Times New Roman"/>
          <w:b/>
          <w:bCs/>
        </w:rPr>
        <w:t>ARTÍCULO 131.</w:t>
      </w:r>
      <w:r w:rsidR="00D415D8">
        <w:rPr>
          <w:rFonts w:ascii="Times New Roman" w:hAnsi="Times New Roman"/>
          <w:b/>
          <w:bCs/>
        </w:rPr>
        <w:t xml:space="preserve"> </w:t>
      </w:r>
      <w:r w:rsidRPr="00F53530">
        <w:rPr>
          <w:rFonts w:ascii="Times New Roman" w:hAnsi="Times New Roman"/>
        </w:rPr>
        <w:t>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podrán sustentar sus actuaciones en la vía gubernativa y en la jurisdiccional con base en la ley.</w:t>
      </w:r>
    </w:p>
    <w:p w14:paraId="045A3E19" w14:textId="77777777" w:rsidR="00DD3F1F" w:rsidRPr="00DD3F1F" w:rsidRDefault="00DD3F1F" w:rsidP="00DD3F1F">
      <w:pPr>
        <w:spacing w:after="0" w:line="240" w:lineRule="auto"/>
        <w:jc w:val="both"/>
        <w:rPr>
          <w:rFonts w:ascii="Times New Roman" w:hAnsi="Times New Roman"/>
          <w:b/>
          <w:highlight w:val="yellow"/>
        </w:rPr>
      </w:pPr>
      <w:bookmarkStart w:id="5" w:name="_Hlk145078469"/>
      <w:r w:rsidRPr="00DD3F1F">
        <w:rPr>
          <w:rFonts w:ascii="Times New Roman" w:hAnsi="Times New Roman"/>
          <w:b/>
          <w:highlight w:val="yellow"/>
        </w:rPr>
        <w:t>CONCORDANCIAS:</w:t>
      </w:r>
    </w:p>
    <w:p w14:paraId="045A3E1A" w14:textId="2E97767C" w:rsidR="00DD3F1F" w:rsidRPr="00DD3F1F" w:rsidRDefault="00DD3F1F" w:rsidP="00DD3F1F">
      <w:pPr>
        <w:numPr>
          <w:ilvl w:val="0"/>
          <w:numId w:val="22"/>
        </w:numPr>
        <w:spacing w:after="0" w:line="240" w:lineRule="auto"/>
        <w:jc w:val="both"/>
        <w:rPr>
          <w:rFonts w:ascii="Times New Roman" w:hAnsi="Times New Roman"/>
          <w:b/>
          <w:highlight w:val="yellow"/>
        </w:rPr>
      </w:pPr>
      <w:hyperlink r:id="rId153" w:history="1">
        <w:r w:rsidRPr="00DD3F1F">
          <w:rPr>
            <w:rStyle w:val="Hipervnculo"/>
            <w:rFonts w:ascii="Times New Roman" w:hAnsi="Times New Roman"/>
            <w:b/>
            <w:bCs/>
            <w:highlight w:val="yellow"/>
          </w:rPr>
          <w:t>Circular DIAN No. 10 de 22 de septiembre de 2022</w:t>
        </w:r>
      </w:hyperlink>
      <w:r w:rsidRPr="00DD3F1F">
        <w:rPr>
          <w:rFonts w:ascii="Times New Roman" w:hAnsi="Times New Roman"/>
          <w:b/>
          <w:bCs/>
          <w:highlight w:val="yellow"/>
        </w:rPr>
        <w:t>:</w:t>
      </w:r>
      <w:r w:rsidRPr="00DD3F1F">
        <w:rPr>
          <w:rFonts w:ascii="Times New Roman" w:hAnsi="Times New Roman"/>
          <w:highlight w:val="yellow"/>
        </w:rPr>
        <w:t xml:space="preserve"> Directrices orientadas a garantizar la seguridad jurídica en las actuaciones y actos de la Dirección de Impuestos y Aduanas Nacionales (DIAN).</w:t>
      </w:r>
    </w:p>
    <w:bookmarkEnd w:id="5"/>
    <w:p w14:paraId="045A3E1B" w14:textId="77777777" w:rsidR="00040448" w:rsidRPr="00F53530" w:rsidRDefault="00040448" w:rsidP="00C44821">
      <w:pPr>
        <w:spacing w:before="240" w:after="240" w:line="240" w:lineRule="auto"/>
        <w:jc w:val="both"/>
        <w:rPr>
          <w:rFonts w:ascii="Times New Roman" w:hAnsi="Times New Roman"/>
        </w:rPr>
      </w:pPr>
      <w:r w:rsidRPr="00D415D8">
        <w:rPr>
          <w:rFonts w:ascii="Times New Roman" w:hAnsi="Times New Roman"/>
          <w:b/>
          <w:bCs/>
        </w:rPr>
        <w:t>ARTÍCULO 132.</w:t>
      </w:r>
      <w:r w:rsidR="00D415D8">
        <w:rPr>
          <w:rFonts w:ascii="Times New Roman" w:hAnsi="Times New Roman"/>
          <w:b/>
          <w:bCs/>
        </w:rPr>
        <w:t xml:space="preserve"> </w:t>
      </w:r>
      <w:r w:rsidRPr="00F53530">
        <w:rPr>
          <w:rFonts w:ascii="Times New Roman" w:hAnsi="Times New Roman"/>
        </w:rPr>
        <w:t>Créase en la Fiscalía General de la Nación, la Dirección Especializada contra los Delitos Fiscales adscrito a la Delegada de Finanzas Criminales, la que tendrá como función principal la investigación y judicialización de los delitos fiscales o tributarios y las demás conductas delictivas conexas o relacionadas, sin perjuicio de la competencia de las Direcciones Seccionales sobre la materia.</w:t>
      </w:r>
    </w:p>
    <w:p w14:paraId="045A3E1C"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La Dirección Especializada Contra los Delitos Fiscales estará conformada por:</w:t>
      </w:r>
    </w:p>
    <w:tbl>
      <w:tblPr>
        <w:tblW w:w="7200" w:type="dxa"/>
        <w:jc w:val="center"/>
        <w:tblCellMar>
          <w:left w:w="70" w:type="dxa"/>
          <w:right w:w="70" w:type="dxa"/>
        </w:tblCellMar>
        <w:tblLook w:val="04A0" w:firstRow="1" w:lastRow="0" w:firstColumn="1" w:lastColumn="0" w:noHBand="0" w:noVBand="1"/>
      </w:tblPr>
      <w:tblGrid>
        <w:gridCol w:w="1474"/>
        <w:gridCol w:w="1200"/>
        <w:gridCol w:w="3285"/>
        <w:gridCol w:w="1241"/>
      </w:tblGrid>
      <w:tr w:rsidR="00475471" w:rsidRPr="00F53530" w14:paraId="045A3E21" w14:textId="77777777" w:rsidTr="00D415D8">
        <w:trPr>
          <w:trHeight w:val="300"/>
          <w:tblHeader/>
          <w:jc w:val="center"/>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A3E1D" w14:textId="77777777" w:rsidR="00475471" w:rsidRPr="00F53530" w:rsidRDefault="00475471"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Unidad</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45A3E1E" w14:textId="77777777" w:rsidR="00475471" w:rsidRPr="00F53530" w:rsidRDefault="00475471"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Cantidad</w:t>
            </w:r>
          </w:p>
        </w:tc>
        <w:tc>
          <w:tcPr>
            <w:tcW w:w="3285" w:type="dxa"/>
            <w:tcBorders>
              <w:top w:val="single" w:sz="4" w:space="0" w:color="auto"/>
              <w:left w:val="nil"/>
              <w:bottom w:val="single" w:sz="4" w:space="0" w:color="auto"/>
              <w:right w:val="single" w:sz="4" w:space="0" w:color="auto"/>
            </w:tcBorders>
            <w:shd w:val="clear" w:color="auto" w:fill="auto"/>
            <w:vAlign w:val="center"/>
            <w:hideMark/>
          </w:tcPr>
          <w:p w14:paraId="045A3E1F" w14:textId="77777777" w:rsidR="00475471" w:rsidRPr="00F53530" w:rsidRDefault="00475471"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Cargo</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045A3E20" w14:textId="77777777" w:rsidR="00475471" w:rsidRPr="00F53530" w:rsidRDefault="00475471" w:rsidP="00C44821">
            <w:pPr>
              <w:spacing w:after="0" w:line="240" w:lineRule="auto"/>
              <w:jc w:val="center"/>
              <w:rPr>
                <w:rFonts w:ascii="Times New Roman" w:eastAsia="Times New Roman" w:hAnsi="Times New Roman"/>
                <w:b/>
                <w:bCs/>
                <w:i/>
                <w:color w:val="000000"/>
                <w:lang w:eastAsia="es-CO"/>
              </w:rPr>
            </w:pPr>
            <w:r w:rsidRPr="00F53530">
              <w:rPr>
                <w:rFonts w:ascii="Times New Roman" w:eastAsia="Times New Roman" w:hAnsi="Times New Roman"/>
                <w:b/>
                <w:bCs/>
                <w:i/>
                <w:color w:val="000000"/>
                <w:lang w:eastAsia="es-CO"/>
              </w:rPr>
              <w:t>Niveles</w:t>
            </w:r>
          </w:p>
        </w:tc>
      </w:tr>
      <w:tr w:rsidR="00475471" w:rsidRPr="00F53530" w14:paraId="045A3E26" w14:textId="77777777" w:rsidTr="00D415D8">
        <w:trPr>
          <w:trHeight w:val="300"/>
          <w:jc w:val="center"/>
        </w:trPr>
        <w:tc>
          <w:tcPr>
            <w:tcW w:w="14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5A3E22"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Dirección especializada contra los delitos fiscales</w:t>
            </w:r>
          </w:p>
        </w:tc>
        <w:tc>
          <w:tcPr>
            <w:tcW w:w="1200" w:type="dxa"/>
            <w:tcBorders>
              <w:top w:val="nil"/>
              <w:left w:val="nil"/>
              <w:bottom w:val="single" w:sz="4" w:space="0" w:color="auto"/>
              <w:right w:val="single" w:sz="4" w:space="0" w:color="auto"/>
            </w:tcBorders>
            <w:shd w:val="clear" w:color="auto" w:fill="auto"/>
            <w:noWrap/>
            <w:vAlign w:val="center"/>
            <w:hideMark/>
          </w:tcPr>
          <w:p w14:paraId="045A3E23"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w:t>
            </w:r>
          </w:p>
        </w:tc>
        <w:tc>
          <w:tcPr>
            <w:tcW w:w="3285" w:type="dxa"/>
            <w:tcBorders>
              <w:top w:val="nil"/>
              <w:left w:val="nil"/>
              <w:bottom w:val="single" w:sz="4" w:space="0" w:color="auto"/>
              <w:right w:val="single" w:sz="4" w:space="0" w:color="auto"/>
            </w:tcBorders>
            <w:shd w:val="clear" w:color="auto" w:fill="auto"/>
            <w:vAlign w:val="center"/>
            <w:hideMark/>
          </w:tcPr>
          <w:p w14:paraId="045A3E24"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Director Nacional I</w:t>
            </w:r>
          </w:p>
        </w:tc>
        <w:tc>
          <w:tcPr>
            <w:tcW w:w="1241" w:type="dxa"/>
            <w:tcBorders>
              <w:top w:val="nil"/>
              <w:left w:val="nil"/>
              <w:bottom w:val="single" w:sz="4" w:space="0" w:color="auto"/>
              <w:right w:val="single" w:sz="4" w:space="0" w:color="auto"/>
            </w:tcBorders>
            <w:shd w:val="clear" w:color="auto" w:fill="auto"/>
            <w:noWrap/>
            <w:vAlign w:val="center"/>
            <w:hideMark/>
          </w:tcPr>
          <w:p w14:paraId="045A3E25"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Directivo</w:t>
            </w:r>
          </w:p>
        </w:tc>
      </w:tr>
      <w:tr w:rsidR="00475471" w:rsidRPr="00F53530" w14:paraId="045A3E2B" w14:textId="77777777" w:rsidTr="00D415D8">
        <w:trPr>
          <w:trHeight w:val="870"/>
          <w:jc w:val="center"/>
        </w:trPr>
        <w:tc>
          <w:tcPr>
            <w:tcW w:w="1474" w:type="dxa"/>
            <w:vMerge/>
            <w:tcBorders>
              <w:top w:val="nil"/>
              <w:left w:val="single" w:sz="4" w:space="0" w:color="auto"/>
              <w:bottom w:val="single" w:sz="4" w:space="0" w:color="auto"/>
              <w:right w:val="single" w:sz="4" w:space="0" w:color="auto"/>
            </w:tcBorders>
            <w:vAlign w:val="center"/>
            <w:hideMark/>
          </w:tcPr>
          <w:p w14:paraId="045A3E27"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28"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20</w:t>
            </w:r>
          </w:p>
        </w:tc>
        <w:tc>
          <w:tcPr>
            <w:tcW w:w="3285" w:type="dxa"/>
            <w:tcBorders>
              <w:top w:val="nil"/>
              <w:left w:val="nil"/>
              <w:bottom w:val="single" w:sz="4" w:space="0" w:color="auto"/>
              <w:right w:val="single" w:sz="4" w:space="0" w:color="auto"/>
            </w:tcBorders>
            <w:shd w:val="clear" w:color="auto" w:fill="auto"/>
            <w:vAlign w:val="center"/>
            <w:hideMark/>
          </w:tcPr>
          <w:p w14:paraId="045A3E29"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Fiscal Delegado ante Jueces Penales del Circuito Especializados</w:t>
            </w:r>
          </w:p>
        </w:tc>
        <w:tc>
          <w:tcPr>
            <w:tcW w:w="1241" w:type="dxa"/>
            <w:tcBorders>
              <w:top w:val="nil"/>
              <w:left w:val="nil"/>
              <w:bottom w:val="single" w:sz="4" w:space="0" w:color="auto"/>
              <w:right w:val="single" w:sz="4" w:space="0" w:color="auto"/>
            </w:tcBorders>
            <w:shd w:val="clear" w:color="auto" w:fill="auto"/>
            <w:noWrap/>
            <w:vAlign w:val="center"/>
            <w:hideMark/>
          </w:tcPr>
          <w:p w14:paraId="045A3E2A"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w:t>
            </w:r>
          </w:p>
        </w:tc>
      </w:tr>
      <w:tr w:rsidR="00475471" w:rsidRPr="00F53530" w14:paraId="045A3E30" w14:textId="77777777" w:rsidTr="00D415D8">
        <w:trPr>
          <w:trHeight w:val="364"/>
          <w:jc w:val="center"/>
        </w:trPr>
        <w:tc>
          <w:tcPr>
            <w:tcW w:w="1474" w:type="dxa"/>
            <w:vMerge/>
            <w:tcBorders>
              <w:top w:val="nil"/>
              <w:left w:val="single" w:sz="4" w:space="0" w:color="auto"/>
              <w:bottom w:val="single" w:sz="4" w:space="0" w:color="auto"/>
              <w:right w:val="single" w:sz="4" w:space="0" w:color="auto"/>
            </w:tcBorders>
            <w:vAlign w:val="center"/>
            <w:hideMark/>
          </w:tcPr>
          <w:p w14:paraId="045A3E2C"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2D"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5</w:t>
            </w:r>
          </w:p>
        </w:tc>
        <w:tc>
          <w:tcPr>
            <w:tcW w:w="3285" w:type="dxa"/>
            <w:tcBorders>
              <w:top w:val="nil"/>
              <w:left w:val="nil"/>
              <w:bottom w:val="single" w:sz="4" w:space="0" w:color="auto"/>
              <w:right w:val="single" w:sz="4" w:space="0" w:color="auto"/>
            </w:tcBorders>
            <w:shd w:val="clear" w:color="auto" w:fill="auto"/>
            <w:vAlign w:val="center"/>
            <w:hideMark/>
          </w:tcPr>
          <w:p w14:paraId="045A3E2E"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Fiscal Delegado antes Jueces del Circuito</w:t>
            </w:r>
          </w:p>
        </w:tc>
        <w:tc>
          <w:tcPr>
            <w:tcW w:w="1241" w:type="dxa"/>
            <w:tcBorders>
              <w:top w:val="nil"/>
              <w:left w:val="nil"/>
              <w:bottom w:val="single" w:sz="4" w:space="0" w:color="auto"/>
              <w:right w:val="single" w:sz="4" w:space="0" w:color="auto"/>
            </w:tcBorders>
            <w:shd w:val="clear" w:color="auto" w:fill="auto"/>
            <w:noWrap/>
            <w:vAlign w:val="center"/>
            <w:hideMark/>
          </w:tcPr>
          <w:p w14:paraId="045A3E2F"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w:t>
            </w:r>
          </w:p>
        </w:tc>
      </w:tr>
      <w:tr w:rsidR="00475471" w:rsidRPr="00F53530" w14:paraId="045A3E35" w14:textId="77777777" w:rsidTr="00D415D8">
        <w:trPr>
          <w:trHeight w:val="556"/>
          <w:jc w:val="center"/>
        </w:trPr>
        <w:tc>
          <w:tcPr>
            <w:tcW w:w="1474" w:type="dxa"/>
            <w:vMerge/>
            <w:tcBorders>
              <w:top w:val="nil"/>
              <w:left w:val="single" w:sz="4" w:space="0" w:color="auto"/>
              <w:bottom w:val="single" w:sz="4" w:space="0" w:color="auto"/>
              <w:right w:val="single" w:sz="4" w:space="0" w:color="auto"/>
            </w:tcBorders>
            <w:vAlign w:val="center"/>
            <w:hideMark/>
          </w:tcPr>
          <w:p w14:paraId="045A3E31"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32"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5</w:t>
            </w:r>
          </w:p>
        </w:tc>
        <w:tc>
          <w:tcPr>
            <w:tcW w:w="3285" w:type="dxa"/>
            <w:tcBorders>
              <w:top w:val="nil"/>
              <w:left w:val="nil"/>
              <w:bottom w:val="single" w:sz="4" w:space="0" w:color="auto"/>
              <w:right w:val="single" w:sz="4" w:space="0" w:color="auto"/>
            </w:tcBorders>
            <w:shd w:val="clear" w:color="auto" w:fill="auto"/>
            <w:vAlign w:val="center"/>
            <w:hideMark/>
          </w:tcPr>
          <w:p w14:paraId="045A3E33"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Fiscal Delegado antes Jueces Municipales y Promiscuos</w:t>
            </w:r>
          </w:p>
        </w:tc>
        <w:tc>
          <w:tcPr>
            <w:tcW w:w="1241" w:type="dxa"/>
            <w:tcBorders>
              <w:top w:val="nil"/>
              <w:left w:val="nil"/>
              <w:bottom w:val="single" w:sz="4" w:space="0" w:color="auto"/>
              <w:right w:val="single" w:sz="4" w:space="0" w:color="auto"/>
            </w:tcBorders>
            <w:shd w:val="clear" w:color="auto" w:fill="auto"/>
            <w:noWrap/>
            <w:vAlign w:val="center"/>
            <w:hideMark/>
          </w:tcPr>
          <w:p w14:paraId="045A3E34"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w:t>
            </w:r>
          </w:p>
        </w:tc>
      </w:tr>
      <w:tr w:rsidR="00475471" w:rsidRPr="00F53530" w14:paraId="045A3E3A"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36"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37"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w:t>
            </w:r>
          </w:p>
        </w:tc>
        <w:tc>
          <w:tcPr>
            <w:tcW w:w="3285" w:type="dxa"/>
            <w:tcBorders>
              <w:top w:val="nil"/>
              <w:left w:val="nil"/>
              <w:bottom w:val="single" w:sz="4" w:space="0" w:color="auto"/>
              <w:right w:val="single" w:sz="4" w:space="0" w:color="auto"/>
            </w:tcBorders>
            <w:shd w:val="clear" w:color="auto" w:fill="auto"/>
            <w:vAlign w:val="center"/>
            <w:hideMark/>
          </w:tcPr>
          <w:p w14:paraId="045A3E38"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 Experto</w:t>
            </w:r>
          </w:p>
        </w:tc>
        <w:tc>
          <w:tcPr>
            <w:tcW w:w="1241" w:type="dxa"/>
            <w:tcBorders>
              <w:top w:val="nil"/>
              <w:left w:val="nil"/>
              <w:bottom w:val="single" w:sz="4" w:space="0" w:color="auto"/>
              <w:right w:val="single" w:sz="4" w:space="0" w:color="auto"/>
            </w:tcBorders>
            <w:shd w:val="clear" w:color="auto" w:fill="auto"/>
            <w:noWrap/>
            <w:vAlign w:val="center"/>
            <w:hideMark/>
          </w:tcPr>
          <w:p w14:paraId="045A3E39"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w:t>
            </w:r>
          </w:p>
        </w:tc>
      </w:tr>
      <w:tr w:rsidR="00475471" w:rsidRPr="00F53530" w14:paraId="045A3E3F"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3B"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3C"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w:t>
            </w:r>
          </w:p>
        </w:tc>
        <w:tc>
          <w:tcPr>
            <w:tcW w:w="3285" w:type="dxa"/>
            <w:tcBorders>
              <w:top w:val="nil"/>
              <w:left w:val="nil"/>
              <w:bottom w:val="single" w:sz="4" w:space="0" w:color="auto"/>
              <w:right w:val="single" w:sz="4" w:space="0" w:color="auto"/>
            </w:tcBorders>
            <w:shd w:val="clear" w:color="auto" w:fill="auto"/>
            <w:vAlign w:val="center"/>
            <w:hideMark/>
          </w:tcPr>
          <w:p w14:paraId="045A3E3D"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 Especializado II</w:t>
            </w:r>
          </w:p>
        </w:tc>
        <w:tc>
          <w:tcPr>
            <w:tcW w:w="1241" w:type="dxa"/>
            <w:tcBorders>
              <w:top w:val="nil"/>
              <w:left w:val="nil"/>
              <w:bottom w:val="single" w:sz="4" w:space="0" w:color="auto"/>
              <w:right w:val="single" w:sz="4" w:space="0" w:color="auto"/>
            </w:tcBorders>
            <w:shd w:val="clear" w:color="auto" w:fill="auto"/>
            <w:noWrap/>
            <w:vAlign w:val="center"/>
            <w:hideMark/>
          </w:tcPr>
          <w:p w14:paraId="045A3E3E"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w:t>
            </w:r>
          </w:p>
        </w:tc>
      </w:tr>
      <w:tr w:rsidR="00475471" w:rsidRPr="00F53530" w14:paraId="045A3E44"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40"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41"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w:t>
            </w:r>
          </w:p>
        </w:tc>
        <w:tc>
          <w:tcPr>
            <w:tcW w:w="3285" w:type="dxa"/>
            <w:tcBorders>
              <w:top w:val="nil"/>
              <w:left w:val="nil"/>
              <w:bottom w:val="single" w:sz="4" w:space="0" w:color="auto"/>
              <w:right w:val="single" w:sz="4" w:space="0" w:color="auto"/>
            </w:tcBorders>
            <w:shd w:val="clear" w:color="auto" w:fill="auto"/>
            <w:vAlign w:val="center"/>
            <w:hideMark/>
          </w:tcPr>
          <w:p w14:paraId="045A3E42"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 Gestión III</w:t>
            </w:r>
          </w:p>
        </w:tc>
        <w:tc>
          <w:tcPr>
            <w:tcW w:w="1241" w:type="dxa"/>
            <w:tcBorders>
              <w:top w:val="nil"/>
              <w:left w:val="nil"/>
              <w:bottom w:val="single" w:sz="4" w:space="0" w:color="auto"/>
              <w:right w:val="single" w:sz="4" w:space="0" w:color="auto"/>
            </w:tcBorders>
            <w:shd w:val="clear" w:color="auto" w:fill="auto"/>
            <w:noWrap/>
            <w:vAlign w:val="center"/>
            <w:hideMark/>
          </w:tcPr>
          <w:p w14:paraId="045A3E43"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w:t>
            </w:r>
          </w:p>
        </w:tc>
      </w:tr>
      <w:tr w:rsidR="00475471" w:rsidRPr="00F53530" w14:paraId="045A3E49"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45"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46"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12</w:t>
            </w:r>
          </w:p>
        </w:tc>
        <w:tc>
          <w:tcPr>
            <w:tcW w:w="3285" w:type="dxa"/>
            <w:tcBorders>
              <w:top w:val="nil"/>
              <w:left w:val="nil"/>
              <w:bottom w:val="single" w:sz="4" w:space="0" w:color="auto"/>
              <w:right w:val="single" w:sz="4" w:space="0" w:color="auto"/>
            </w:tcBorders>
            <w:shd w:val="clear" w:color="auto" w:fill="auto"/>
            <w:vAlign w:val="center"/>
            <w:hideMark/>
          </w:tcPr>
          <w:p w14:paraId="045A3E47"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Investigador Experto</w:t>
            </w:r>
          </w:p>
        </w:tc>
        <w:tc>
          <w:tcPr>
            <w:tcW w:w="1241" w:type="dxa"/>
            <w:tcBorders>
              <w:top w:val="nil"/>
              <w:left w:val="nil"/>
              <w:bottom w:val="single" w:sz="4" w:space="0" w:color="auto"/>
              <w:right w:val="single" w:sz="4" w:space="0" w:color="auto"/>
            </w:tcBorders>
            <w:shd w:val="clear" w:color="auto" w:fill="auto"/>
            <w:noWrap/>
            <w:vAlign w:val="center"/>
            <w:hideMark/>
          </w:tcPr>
          <w:p w14:paraId="045A3E48"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w:t>
            </w:r>
          </w:p>
        </w:tc>
      </w:tr>
      <w:tr w:rsidR="00475471" w:rsidRPr="00F53530" w14:paraId="045A3E4E"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4A"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4B"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10</w:t>
            </w:r>
          </w:p>
        </w:tc>
        <w:tc>
          <w:tcPr>
            <w:tcW w:w="3285" w:type="dxa"/>
            <w:tcBorders>
              <w:top w:val="nil"/>
              <w:left w:val="nil"/>
              <w:bottom w:val="single" w:sz="4" w:space="0" w:color="auto"/>
              <w:right w:val="single" w:sz="4" w:space="0" w:color="auto"/>
            </w:tcBorders>
            <w:shd w:val="clear" w:color="auto" w:fill="auto"/>
            <w:vAlign w:val="center"/>
            <w:hideMark/>
          </w:tcPr>
          <w:p w14:paraId="045A3E4C"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 Investigador III</w:t>
            </w:r>
          </w:p>
        </w:tc>
        <w:tc>
          <w:tcPr>
            <w:tcW w:w="1241" w:type="dxa"/>
            <w:tcBorders>
              <w:top w:val="nil"/>
              <w:left w:val="nil"/>
              <w:bottom w:val="single" w:sz="4" w:space="0" w:color="auto"/>
              <w:right w:val="single" w:sz="4" w:space="0" w:color="auto"/>
            </w:tcBorders>
            <w:shd w:val="clear" w:color="auto" w:fill="auto"/>
            <w:noWrap/>
            <w:vAlign w:val="center"/>
            <w:hideMark/>
          </w:tcPr>
          <w:p w14:paraId="045A3E4D"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w:t>
            </w:r>
          </w:p>
        </w:tc>
      </w:tr>
      <w:tr w:rsidR="00475471" w:rsidRPr="00F53530" w14:paraId="045A3E53"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4F"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50"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9</w:t>
            </w:r>
          </w:p>
        </w:tc>
        <w:tc>
          <w:tcPr>
            <w:tcW w:w="3285" w:type="dxa"/>
            <w:tcBorders>
              <w:top w:val="nil"/>
              <w:left w:val="nil"/>
              <w:bottom w:val="single" w:sz="4" w:space="0" w:color="auto"/>
              <w:right w:val="single" w:sz="4" w:space="0" w:color="auto"/>
            </w:tcBorders>
            <w:shd w:val="clear" w:color="auto" w:fill="auto"/>
            <w:vAlign w:val="center"/>
            <w:hideMark/>
          </w:tcPr>
          <w:p w14:paraId="045A3E51"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 Investigador II</w:t>
            </w:r>
          </w:p>
        </w:tc>
        <w:tc>
          <w:tcPr>
            <w:tcW w:w="1241" w:type="dxa"/>
            <w:tcBorders>
              <w:top w:val="nil"/>
              <w:left w:val="nil"/>
              <w:bottom w:val="single" w:sz="4" w:space="0" w:color="auto"/>
              <w:right w:val="single" w:sz="4" w:space="0" w:color="auto"/>
            </w:tcBorders>
            <w:shd w:val="clear" w:color="auto" w:fill="auto"/>
            <w:noWrap/>
            <w:vAlign w:val="center"/>
            <w:hideMark/>
          </w:tcPr>
          <w:p w14:paraId="045A3E52"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w:t>
            </w:r>
          </w:p>
        </w:tc>
      </w:tr>
      <w:tr w:rsidR="00475471" w:rsidRPr="00F53530" w14:paraId="045A3E58"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54"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55"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9</w:t>
            </w:r>
          </w:p>
        </w:tc>
        <w:tc>
          <w:tcPr>
            <w:tcW w:w="3285" w:type="dxa"/>
            <w:tcBorders>
              <w:top w:val="nil"/>
              <w:left w:val="nil"/>
              <w:bottom w:val="single" w:sz="4" w:space="0" w:color="auto"/>
              <w:right w:val="single" w:sz="4" w:space="0" w:color="auto"/>
            </w:tcBorders>
            <w:shd w:val="clear" w:color="auto" w:fill="auto"/>
            <w:vAlign w:val="center"/>
            <w:hideMark/>
          </w:tcPr>
          <w:p w14:paraId="045A3E56"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 Investigador I</w:t>
            </w:r>
          </w:p>
        </w:tc>
        <w:tc>
          <w:tcPr>
            <w:tcW w:w="1241" w:type="dxa"/>
            <w:tcBorders>
              <w:top w:val="nil"/>
              <w:left w:val="nil"/>
              <w:bottom w:val="single" w:sz="4" w:space="0" w:color="auto"/>
              <w:right w:val="single" w:sz="4" w:space="0" w:color="auto"/>
            </w:tcBorders>
            <w:shd w:val="clear" w:color="auto" w:fill="auto"/>
            <w:noWrap/>
            <w:vAlign w:val="center"/>
            <w:hideMark/>
          </w:tcPr>
          <w:p w14:paraId="045A3E57"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Profesional</w:t>
            </w:r>
          </w:p>
        </w:tc>
      </w:tr>
      <w:tr w:rsidR="00475471" w:rsidRPr="00F53530" w14:paraId="045A3E5D"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59"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5A"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10</w:t>
            </w:r>
          </w:p>
        </w:tc>
        <w:tc>
          <w:tcPr>
            <w:tcW w:w="3285" w:type="dxa"/>
            <w:tcBorders>
              <w:top w:val="nil"/>
              <w:left w:val="nil"/>
              <w:bottom w:val="single" w:sz="4" w:space="0" w:color="auto"/>
              <w:right w:val="single" w:sz="4" w:space="0" w:color="auto"/>
            </w:tcBorders>
            <w:shd w:val="clear" w:color="auto" w:fill="auto"/>
            <w:vAlign w:val="center"/>
            <w:hideMark/>
          </w:tcPr>
          <w:p w14:paraId="045A3E5B"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Técnico Investigador IV</w:t>
            </w:r>
          </w:p>
        </w:tc>
        <w:tc>
          <w:tcPr>
            <w:tcW w:w="1241" w:type="dxa"/>
            <w:tcBorders>
              <w:top w:val="nil"/>
              <w:left w:val="nil"/>
              <w:bottom w:val="single" w:sz="4" w:space="0" w:color="auto"/>
              <w:right w:val="single" w:sz="4" w:space="0" w:color="auto"/>
            </w:tcBorders>
            <w:shd w:val="clear" w:color="auto" w:fill="auto"/>
            <w:noWrap/>
            <w:vAlign w:val="center"/>
            <w:hideMark/>
          </w:tcPr>
          <w:p w14:paraId="045A3E5C"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Técnico</w:t>
            </w:r>
          </w:p>
        </w:tc>
      </w:tr>
      <w:tr w:rsidR="00475471" w:rsidRPr="00F53530" w14:paraId="045A3E62"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5E"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5F"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10</w:t>
            </w:r>
          </w:p>
        </w:tc>
        <w:tc>
          <w:tcPr>
            <w:tcW w:w="3285" w:type="dxa"/>
            <w:tcBorders>
              <w:top w:val="nil"/>
              <w:left w:val="nil"/>
              <w:bottom w:val="single" w:sz="4" w:space="0" w:color="auto"/>
              <w:right w:val="single" w:sz="4" w:space="0" w:color="auto"/>
            </w:tcBorders>
            <w:shd w:val="clear" w:color="auto" w:fill="auto"/>
            <w:vAlign w:val="center"/>
            <w:hideMark/>
          </w:tcPr>
          <w:p w14:paraId="045A3E60"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Técnico Investigador III</w:t>
            </w:r>
          </w:p>
        </w:tc>
        <w:tc>
          <w:tcPr>
            <w:tcW w:w="1241" w:type="dxa"/>
            <w:tcBorders>
              <w:top w:val="nil"/>
              <w:left w:val="nil"/>
              <w:bottom w:val="single" w:sz="4" w:space="0" w:color="auto"/>
              <w:right w:val="single" w:sz="4" w:space="0" w:color="auto"/>
            </w:tcBorders>
            <w:shd w:val="clear" w:color="auto" w:fill="auto"/>
            <w:noWrap/>
            <w:vAlign w:val="center"/>
            <w:hideMark/>
          </w:tcPr>
          <w:p w14:paraId="045A3E61"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Técnico</w:t>
            </w:r>
          </w:p>
        </w:tc>
      </w:tr>
      <w:tr w:rsidR="00475471" w:rsidRPr="00F53530" w14:paraId="045A3E67"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63"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64"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20</w:t>
            </w:r>
          </w:p>
        </w:tc>
        <w:tc>
          <w:tcPr>
            <w:tcW w:w="3285" w:type="dxa"/>
            <w:tcBorders>
              <w:top w:val="nil"/>
              <w:left w:val="nil"/>
              <w:bottom w:val="single" w:sz="4" w:space="0" w:color="auto"/>
              <w:right w:val="single" w:sz="4" w:space="0" w:color="auto"/>
            </w:tcBorders>
            <w:shd w:val="clear" w:color="auto" w:fill="auto"/>
            <w:vAlign w:val="center"/>
            <w:hideMark/>
          </w:tcPr>
          <w:p w14:paraId="045A3E65"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Asistente de Fiscal IV</w:t>
            </w:r>
          </w:p>
        </w:tc>
        <w:tc>
          <w:tcPr>
            <w:tcW w:w="1241" w:type="dxa"/>
            <w:tcBorders>
              <w:top w:val="nil"/>
              <w:left w:val="nil"/>
              <w:bottom w:val="single" w:sz="4" w:space="0" w:color="auto"/>
              <w:right w:val="single" w:sz="4" w:space="0" w:color="auto"/>
            </w:tcBorders>
            <w:shd w:val="clear" w:color="auto" w:fill="auto"/>
            <w:noWrap/>
            <w:vAlign w:val="center"/>
            <w:hideMark/>
          </w:tcPr>
          <w:p w14:paraId="045A3E66"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Técnico</w:t>
            </w:r>
          </w:p>
        </w:tc>
      </w:tr>
      <w:tr w:rsidR="00475471" w:rsidRPr="00F53530" w14:paraId="045A3E6C"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68"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69"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5</w:t>
            </w:r>
          </w:p>
        </w:tc>
        <w:tc>
          <w:tcPr>
            <w:tcW w:w="3285" w:type="dxa"/>
            <w:tcBorders>
              <w:top w:val="nil"/>
              <w:left w:val="nil"/>
              <w:bottom w:val="single" w:sz="4" w:space="0" w:color="auto"/>
              <w:right w:val="single" w:sz="4" w:space="0" w:color="auto"/>
            </w:tcBorders>
            <w:shd w:val="clear" w:color="auto" w:fill="auto"/>
            <w:vAlign w:val="center"/>
            <w:hideMark/>
          </w:tcPr>
          <w:p w14:paraId="045A3E6A"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Asistente de Fiscal III</w:t>
            </w:r>
          </w:p>
        </w:tc>
        <w:tc>
          <w:tcPr>
            <w:tcW w:w="1241" w:type="dxa"/>
            <w:tcBorders>
              <w:top w:val="nil"/>
              <w:left w:val="nil"/>
              <w:bottom w:val="single" w:sz="4" w:space="0" w:color="auto"/>
              <w:right w:val="single" w:sz="4" w:space="0" w:color="auto"/>
            </w:tcBorders>
            <w:shd w:val="clear" w:color="auto" w:fill="auto"/>
            <w:noWrap/>
            <w:vAlign w:val="center"/>
            <w:hideMark/>
          </w:tcPr>
          <w:p w14:paraId="045A3E6B"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Técnico</w:t>
            </w:r>
          </w:p>
        </w:tc>
      </w:tr>
      <w:tr w:rsidR="00475471" w:rsidRPr="00F53530" w14:paraId="045A3E71"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6D"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6E"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5</w:t>
            </w:r>
          </w:p>
        </w:tc>
        <w:tc>
          <w:tcPr>
            <w:tcW w:w="3285" w:type="dxa"/>
            <w:tcBorders>
              <w:top w:val="nil"/>
              <w:left w:val="nil"/>
              <w:bottom w:val="single" w:sz="4" w:space="0" w:color="auto"/>
              <w:right w:val="single" w:sz="4" w:space="0" w:color="auto"/>
            </w:tcBorders>
            <w:shd w:val="clear" w:color="auto" w:fill="auto"/>
            <w:vAlign w:val="center"/>
            <w:hideMark/>
          </w:tcPr>
          <w:p w14:paraId="045A3E6F"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Asistente de Fiscal II</w:t>
            </w:r>
          </w:p>
        </w:tc>
        <w:tc>
          <w:tcPr>
            <w:tcW w:w="1241" w:type="dxa"/>
            <w:tcBorders>
              <w:top w:val="nil"/>
              <w:left w:val="nil"/>
              <w:bottom w:val="single" w:sz="4" w:space="0" w:color="auto"/>
              <w:right w:val="single" w:sz="4" w:space="0" w:color="auto"/>
            </w:tcBorders>
            <w:shd w:val="clear" w:color="auto" w:fill="auto"/>
            <w:noWrap/>
            <w:vAlign w:val="center"/>
            <w:hideMark/>
          </w:tcPr>
          <w:p w14:paraId="045A3E70"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Técnico</w:t>
            </w:r>
          </w:p>
        </w:tc>
      </w:tr>
      <w:tr w:rsidR="00475471" w:rsidRPr="00F53530" w14:paraId="045A3E76"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72"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73"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w:t>
            </w:r>
          </w:p>
        </w:tc>
        <w:tc>
          <w:tcPr>
            <w:tcW w:w="3285" w:type="dxa"/>
            <w:tcBorders>
              <w:top w:val="nil"/>
              <w:left w:val="nil"/>
              <w:bottom w:val="single" w:sz="4" w:space="0" w:color="auto"/>
              <w:right w:val="single" w:sz="4" w:space="0" w:color="auto"/>
            </w:tcBorders>
            <w:shd w:val="clear" w:color="auto" w:fill="auto"/>
            <w:vAlign w:val="center"/>
            <w:hideMark/>
          </w:tcPr>
          <w:p w14:paraId="045A3E74"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Secretario Ejecutivo</w:t>
            </w:r>
          </w:p>
        </w:tc>
        <w:tc>
          <w:tcPr>
            <w:tcW w:w="1241" w:type="dxa"/>
            <w:tcBorders>
              <w:top w:val="nil"/>
              <w:left w:val="nil"/>
              <w:bottom w:val="single" w:sz="4" w:space="0" w:color="auto"/>
              <w:right w:val="single" w:sz="4" w:space="0" w:color="auto"/>
            </w:tcBorders>
            <w:shd w:val="clear" w:color="auto" w:fill="auto"/>
            <w:noWrap/>
            <w:vAlign w:val="center"/>
            <w:hideMark/>
          </w:tcPr>
          <w:p w14:paraId="045A3E75"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Técnico</w:t>
            </w:r>
          </w:p>
        </w:tc>
      </w:tr>
      <w:tr w:rsidR="00475471" w:rsidRPr="00F53530" w14:paraId="045A3E7B"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77"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78"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2</w:t>
            </w:r>
          </w:p>
        </w:tc>
        <w:tc>
          <w:tcPr>
            <w:tcW w:w="3285" w:type="dxa"/>
            <w:tcBorders>
              <w:top w:val="nil"/>
              <w:left w:val="nil"/>
              <w:bottom w:val="single" w:sz="4" w:space="0" w:color="auto"/>
              <w:right w:val="single" w:sz="4" w:space="0" w:color="auto"/>
            </w:tcBorders>
            <w:shd w:val="clear" w:color="auto" w:fill="auto"/>
            <w:vAlign w:val="center"/>
            <w:hideMark/>
          </w:tcPr>
          <w:p w14:paraId="045A3E79"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Conductor</w:t>
            </w:r>
          </w:p>
        </w:tc>
        <w:tc>
          <w:tcPr>
            <w:tcW w:w="1241" w:type="dxa"/>
            <w:tcBorders>
              <w:top w:val="nil"/>
              <w:left w:val="nil"/>
              <w:bottom w:val="single" w:sz="4" w:space="0" w:color="auto"/>
              <w:right w:val="single" w:sz="4" w:space="0" w:color="auto"/>
            </w:tcBorders>
            <w:shd w:val="clear" w:color="auto" w:fill="auto"/>
            <w:noWrap/>
            <w:vAlign w:val="center"/>
            <w:hideMark/>
          </w:tcPr>
          <w:p w14:paraId="045A3E7A"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Asistencial</w:t>
            </w:r>
          </w:p>
        </w:tc>
      </w:tr>
      <w:tr w:rsidR="00475471" w:rsidRPr="00F53530" w14:paraId="045A3E80" w14:textId="77777777" w:rsidTr="00D415D8">
        <w:trPr>
          <w:trHeight w:val="300"/>
          <w:jc w:val="center"/>
        </w:trPr>
        <w:tc>
          <w:tcPr>
            <w:tcW w:w="1474" w:type="dxa"/>
            <w:vMerge/>
            <w:tcBorders>
              <w:top w:val="nil"/>
              <w:left w:val="single" w:sz="4" w:space="0" w:color="auto"/>
              <w:bottom w:val="single" w:sz="4" w:space="0" w:color="auto"/>
              <w:right w:val="single" w:sz="4" w:space="0" w:color="auto"/>
            </w:tcBorders>
            <w:vAlign w:val="center"/>
            <w:hideMark/>
          </w:tcPr>
          <w:p w14:paraId="045A3E7C"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p>
        </w:tc>
        <w:tc>
          <w:tcPr>
            <w:tcW w:w="1200" w:type="dxa"/>
            <w:tcBorders>
              <w:top w:val="nil"/>
              <w:left w:val="nil"/>
              <w:bottom w:val="single" w:sz="4" w:space="0" w:color="auto"/>
              <w:right w:val="single" w:sz="4" w:space="0" w:color="auto"/>
            </w:tcBorders>
            <w:shd w:val="clear" w:color="auto" w:fill="auto"/>
            <w:noWrap/>
            <w:vAlign w:val="center"/>
            <w:hideMark/>
          </w:tcPr>
          <w:p w14:paraId="045A3E7D"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3</w:t>
            </w:r>
          </w:p>
        </w:tc>
        <w:tc>
          <w:tcPr>
            <w:tcW w:w="3285" w:type="dxa"/>
            <w:tcBorders>
              <w:top w:val="nil"/>
              <w:left w:val="nil"/>
              <w:bottom w:val="single" w:sz="4" w:space="0" w:color="auto"/>
              <w:right w:val="single" w:sz="4" w:space="0" w:color="auto"/>
            </w:tcBorders>
            <w:shd w:val="clear" w:color="auto" w:fill="auto"/>
            <w:vAlign w:val="center"/>
            <w:hideMark/>
          </w:tcPr>
          <w:p w14:paraId="045A3E7E"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Secretario Administrativo II</w:t>
            </w:r>
          </w:p>
        </w:tc>
        <w:tc>
          <w:tcPr>
            <w:tcW w:w="1241" w:type="dxa"/>
            <w:tcBorders>
              <w:top w:val="nil"/>
              <w:left w:val="nil"/>
              <w:bottom w:val="single" w:sz="4" w:space="0" w:color="auto"/>
              <w:right w:val="single" w:sz="4" w:space="0" w:color="auto"/>
            </w:tcBorders>
            <w:shd w:val="clear" w:color="auto" w:fill="auto"/>
            <w:noWrap/>
            <w:vAlign w:val="center"/>
            <w:hideMark/>
          </w:tcPr>
          <w:p w14:paraId="045A3E7F" w14:textId="77777777" w:rsidR="00475471" w:rsidRPr="00F53530" w:rsidRDefault="00475471" w:rsidP="00C44821">
            <w:pPr>
              <w:spacing w:after="0" w:line="240" w:lineRule="auto"/>
              <w:jc w:val="center"/>
              <w:rPr>
                <w:rFonts w:ascii="Times New Roman" w:eastAsia="Times New Roman" w:hAnsi="Times New Roman"/>
                <w:i/>
                <w:color w:val="000000"/>
                <w:lang w:eastAsia="es-CO"/>
              </w:rPr>
            </w:pPr>
            <w:r w:rsidRPr="00F53530">
              <w:rPr>
                <w:rFonts w:ascii="Times New Roman" w:eastAsia="Times New Roman" w:hAnsi="Times New Roman"/>
                <w:i/>
                <w:color w:val="000000"/>
                <w:lang w:eastAsia="es-CO"/>
              </w:rPr>
              <w:t>Asistencial</w:t>
            </w:r>
          </w:p>
        </w:tc>
      </w:tr>
    </w:tbl>
    <w:p w14:paraId="045A3E81" w14:textId="1D3261E3"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La Dirección Especializada Contra los Delitos Fiscales cumplirá las funciones generales previstas en el </w:t>
      </w:r>
      <w:hyperlink r:id="rId154" w:history="1">
        <w:r w:rsidRPr="00C5581B">
          <w:rPr>
            <w:rStyle w:val="Hipervnculo"/>
            <w:rFonts w:ascii="Times New Roman" w:hAnsi="Times New Roman"/>
          </w:rPr>
          <w:t>Decreto Ley 016 de 2014</w:t>
        </w:r>
      </w:hyperlink>
      <w:r w:rsidRPr="00F53530">
        <w:rPr>
          <w:rFonts w:ascii="Times New Roman" w:hAnsi="Times New Roman"/>
        </w:rPr>
        <w:t xml:space="preserve">, modificado por </w:t>
      </w:r>
      <w:hyperlink r:id="rId155" w:history="1">
        <w:r w:rsidRPr="00C5581B">
          <w:rPr>
            <w:rStyle w:val="Hipervnculo"/>
            <w:rFonts w:ascii="Times New Roman" w:hAnsi="Times New Roman"/>
          </w:rPr>
          <w:t>Decreto Ley 898 de 2017</w:t>
        </w:r>
      </w:hyperlink>
      <w:r w:rsidRPr="00F53530">
        <w:rPr>
          <w:rFonts w:ascii="Times New Roman" w:hAnsi="Times New Roman"/>
        </w:rPr>
        <w:t xml:space="preserve"> para las Direcciones Especializadas.</w:t>
      </w:r>
    </w:p>
    <w:p w14:paraId="045A3E82"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Dicha Dirección no entrará en funcionamiento hasta tanto el Gobierno nacional garantice las apropiaciones presupuestales necesarias para la puesta en funcionamiento de la Dirección Especializada Contra los Delitos Fiscales.</w:t>
      </w:r>
    </w:p>
    <w:p w14:paraId="045A3E83" w14:textId="56EE354F" w:rsidR="00040448" w:rsidRPr="00F53530" w:rsidRDefault="00040448" w:rsidP="00C44821">
      <w:pPr>
        <w:spacing w:before="240" w:after="240" w:line="240" w:lineRule="auto"/>
        <w:jc w:val="both"/>
        <w:rPr>
          <w:rFonts w:ascii="Times New Roman" w:hAnsi="Times New Roman"/>
        </w:rPr>
      </w:pPr>
      <w:r w:rsidRPr="000B79D3">
        <w:rPr>
          <w:rFonts w:ascii="Times New Roman" w:hAnsi="Times New Roman"/>
          <w:b/>
          <w:bCs/>
        </w:rPr>
        <w:t>ARTÍCULO 133.</w:t>
      </w:r>
      <w:r w:rsidR="000B79D3">
        <w:rPr>
          <w:rFonts w:ascii="Times New Roman" w:hAnsi="Times New Roman"/>
          <w:b/>
          <w:bCs/>
        </w:rPr>
        <w:t xml:space="preserve"> </w:t>
      </w:r>
      <w:r w:rsidRPr="00F53530">
        <w:rPr>
          <w:rFonts w:ascii="Times New Roman" w:hAnsi="Times New Roman"/>
        </w:rPr>
        <w:t xml:space="preserve">Adiciónense al artículo 92 de la </w:t>
      </w:r>
      <w:hyperlink r:id="rId156" w:history="1">
        <w:r w:rsidRPr="00C5581B">
          <w:rPr>
            <w:rStyle w:val="Hipervnculo"/>
            <w:rFonts w:ascii="Times New Roman" w:hAnsi="Times New Roman"/>
          </w:rPr>
          <w:t>Ley 1708 de 2014</w:t>
        </w:r>
      </w:hyperlink>
      <w:r w:rsidRPr="00F53530">
        <w:rPr>
          <w:rFonts w:ascii="Times New Roman" w:hAnsi="Times New Roman"/>
        </w:rPr>
        <w:t xml:space="preserve"> los siguientes dos incisos y dos parágrafos:</w:t>
      </w:r>
    </w:p>
    <w:p w14:paraId="045A3E84" w14:textId="77777777" w:rsidR="00040448" w:rsidRPr="00F53530" w:rsidRDefault="00040448" w:rsidP="00C44821">
      <w:pPr>
        <w:spacing w:before="240" w:after="240" w:line="240" w:lineRule="auto"/>
        <w:jc w:val="both"/>
        <w:rPr>
          <w:rFonts w:ascii="Times New Roman" w:hAnsi="Times New Roman"/>
          <w:i/>
        </w:rPr>
      </w:pPr>
      <w:r w:rsidRPr="009A77AA">
        <w:rPr>
          <w:rFonts w:ascii="Times New Roman" w:hAnsi="Times New Roman"/>
          <w:b/>
          <w:bCs/>
          <w:i/>
        </w:rPr>
        <w:t>VENTA MASIVA DE BIENES</w:t>
      </w:r>
      <w:r w:rsidR="00254BFA" w:rsidRPr="009A77AA">
        <w:rPr>
          <w:rFonts w:ascii="Times New Roman" w:hAnsi="Times New Roman"/>
          <w:b/>
          <w:bCs/>
          <w:i/>
        </w:rPr>
        <w:t>:</w:t>
      </w:r>
      <w:r w:rsidRPr="00F53530">
        <w:rPr>
          <w:rFonts w:ascii="Times New Roman" w:hAnsi="Times New Roman"/>
          <w:i/>
        </w:rPr>
        <w:t xml:space="preserve"> se llamará Venta Masiva al mecanismo de administración de bienes con el que cuenta el administrador del FRISCO para agrupar conjuntos de bienes de todas las tipologías y adjudicarlos en bloque. Para ello, contará con la participación del estructurador experto en el negocio de origen nacional o internacional que será el encargado de la determinación del conjunto de bienes, de la estimación del valor global de los mismos, mecanismos de valoración, el precio mínimo de venta y los descuentos procedentes de conformidad con el estado físico, jurídico y el entorno de los activos el cual se estimará mediante una metodología técnica, que tenga como punto de partida el avalúo de los bienes individualmente considerados.</w:t>
      </w:r>
    </w:p>
    <w:p w14:paraId="045A3E85" w14:textId="77777777" w:rsidR="00040448" w:rsidRPr="00F53530" w:rsidRDefault="00040448" w:rsidP="00C44821">
      <w:pPr>
        <w:spacing w:before="240" w:after="240" w:line="240" w:lineRule="auto"/>
        <w:jc w:val="both"/>
        <w:rPr>
          <w:rFonts w:ascii="Times New Roman" w:hAnsi="Times New Roman"/>
          <w:i/>
        </w:rPr>
      </w:pPr>
      <w:r w:rsidRPr="009A77AA">
        <w:rPr>
          <w:rFonts w:ascii="Times New Roman" w:hAnsi="Times New Roman"/>
          <w:b/>
          <w:bCs/>
          <w:i/>
        </w:rPr>
        <w:t>PRECIO DE VENTA MASIVA DE BIENES</w:t>
      </w:r>
      <w:r w:rsidR="00254BFA" w:rsidRPr="009A77AA">
        <w:rPr>
          <w:rFonts w:ascii="Times New Roman" w:hAnsi="Times New Roman"/>
          <w:b/>
          <w:bCs/>
          <w:i/>
        </w:rPr>
        <w:t>:</w:t>
      </w:r>
      <w:r w:rsidRPr="00F53530">
        <w:rPr>
          <w:rFonts w:ascii="Times New Roman" w:hAnsi="Times New Roman"/>
          <w:i/>
        </w:rPr>
        <w:t xml:space="preserve"> Para determinar el valor global de la Venta Masiva, se autoriza al administrador del FRISCO para que el precio base de venta individual de los bienes que lo componen sea inferior al avalúo catastral, que para estos efectos no podrá ser menor al setenta por ciento 70% del avalúo comercial, cuando la determinación del precio global se relacione con un costo de oportunidad determinado por la conveniencia de la venta inmediata respecto de los costos y gastos que impliquen a futuro la administración del bloque de bienes, lo que será reflejado en la justificación financiera; sin que lo anterior desconozca derechos notariales y registrales y normas sobre lesión enorme.</w:t>
      </w:r>
    </w:p>
    <w:p w14:paraId="045A3E86"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En el evento de devolución de bienes que fueron objeto de Venta Masiva, el administrador del FRISCO deberá cumplir la orden judicial a través de la entrega del valor comercial del bien al momento de la Venta Masiva, junto con los rendimientos financieros generados hasta el cumplimiento de la orden judicial de entrega, previa deducción de los gastos de administración. En todo caso, dicho precio no necesariamente deberá coincidir con el valor asignado en la discriminación de precios del valor global de Venta Masiva.</w:t>
      </w:r>
    </w:p>
    <w:p w14:paraId="045A3E87"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lastRenderedPageBreak/>
        <w:t>PARÁGRAFO 2.</w:t>
      </w:r>
      <w:r w:rsidR="00A03C6F" w:rsidRPr="009A77AA">
        <w:rPr>
          <w:rFonts w:ascii="Times New Roman" w:hAnsi="Times New Roman"/>
          <w:b/>
          <w:bCs/>
          <w:i/>
        </w:rPr>
        <w:t xml:space="preserve"> </w:t>
      </w:r>
      <w:r w:rsidR="00040448" w:rsidRPr="00F53530">
        <w:rPr>
          <w:rFonts w:ascii="Times New Roman" w:hAnsi="Times New Roman"/>
          <w:i/>
        </w:rPr>
        <w:t>En el evento en que los valores correspondientes al cumplimiento de órdenes de devolución superen los montos destinados a la reserva técnica, el administrador del FRISCO podrá afectar los recursos del Fondo. Para ello, el administrador podrá solicitar la modificación del presupuesto del Fondo al Consejo Nacional de Estupefacientes en cualquier momento, para lo cual se convocará sesión ordinaria o extraordinaria, según sea el caso.</w:t>
      </w:r>
    </w:p>
    <w:p w14:paraId="045A3E88" w14:textId="2A1685E9" w:rsidR="00040448" w:rsidRPr="00F53530" w:rsidRDefault="00040448" w:rsidP="00C44821">
      <w:pPr>
        <w:spacing w:before="240" w:after="240" w:line="240" w:lineRule="auto"/>
        <w:jc w:val="both"/>
        <w:rPr>
          <w:rFonts w:ascii="Times New Roman" w:hAnsi="Times New Roman"/>
        </w:rPr>
      </w:pPr>
      <w:r w:rsidRPr="00975FE0">
        <w:rPr>
          <w:rFonts w:ascii="Times New Roman" w:hAnsi="Times New Roman"/>
          <w:b/>
          <w:bCs/>
        </w:rPr>
        <w:t>ARTÍCULO 134.</w:t>
      </w:r>
      <w:r w:rsidR="00975FE0">
        <w:rPr>
          <w:rFonts w:ascii="Times New Roman" w:hAnsi="Times New Roman"/>
          <w:b/>
          <w:bCs/>
        </w:rPr>
        <w:t xml:space="preserve"> </w:t>
      </w:r>
      <w:r w:rsidRPr="00F53530">
        <w:rPr>
          <w:rFonts w:ascii="Times New Roman" w:hAnsi="Times New Roman"/>
        </w:rPr>
        <w:t xml:space="preserve">Adiciónese un parágrafo 4 al artículo 88 de la </w:t>
      </w:r>
      <w:hyperlink r:id="rId157" w:history="1">
        <w:r w:rsidRPr="00C5581B">
          <w:rPr>
            <w:rStyle w:val="Hipervnculo"/>
            <w:rFonts w:ascii="Times New Roman" w:hAnsi="Times New Roman"/>
          </w:rPr>
          <w:t>Ley 1708 de 2014</w:t>
        </w:r>
      </w:hyperlink>
      <w:r w:rsidRPr="00F53530">
        <w:rPr>
          <w:rFonts w:ascii="Times New Roman" w:hAnsi="Times New Roman"/>
        </w:rPr>
        <w:t>, así:</w:t>
      </w:r>
    </w:p>
    <w:p w14:paraId="045A3E89" w14:textId="4E4FC530"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4.</w:t>
      </w:r>
      <w:r w:rsidR="00A03C6F" w:rsidRPr="00F53530">
        <w:rPr>
          <w:rFonts w:ascii="Times New Roman" w:hAnsi="Times New Roman"/>
          <w:i/>
        </w:rPr>
        <w:t xml:space="preserve"> </w:t>
      </w:r>
      <w:r w:rsidR="00040448" w:rsidRPr="00F53530">
        <w:rPr>
          <w:rFonts w:ascii="Times New Roman" w:hAnsi="Times New Roman"/>
          <w:i/>
        </w:rPr>
        <w:t xml:space="preserve">El administrador del FRISCO podrá disponer definitivamente de los bienes muebles que ingresaron al mismo con anterioridad a la vigencia de la </w:t>
      </w:r>
      <w:hyperlink r:id="rId158" w:history="1">
        <w:r w:rsidR="00040448" w:rsidRPr="00F50CA6">
          <w:rPr>
            <w:rStyle w:val="Hipervnculo"/>
            <w:rFonts w:ascii="Times New Roman" w:hAnsi="Times New Roman"/>
            <w:i/>
          </w:rPr>
          <w:t>Ley 1615 de 2013</w:t>
        </w:r>
      </w:hyperlink>
      <w:r w:rsidR="00040448" w:rsidRPr="00F53530">
        <w:rPr>
          <w:rFonts w:ascii="Times New Roman" w:hAnsi="Times New Roman"/>
          <w:i/>
        </w:rPr>
        <w:t>, siempre que se desconozca o no exista la autoridad que puso los bienes a disposición para su administración, cuando aquellos no hayan sido vinculados a algún proceso judicial o cuando los mismos se encuentren totalmente dañados, carezcan de valor comercial, o tengan restricciones que hagan imposible o inconveniente su disposición bajo otra modalidad y que sea certificada previamente mediante estudio técnico o peritaje realizado por autoridad competente o como resultado del avalúo realizado.</w:t>
      </w:r>
    </w:p>
    <w:p w14:paraId="045A3E8A" w14:textId="54C7136D"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El administrador del FRISCO podrá solicitar al Consejo Superior de la Judicatura y a la Fiscalía General de la Nación, la certificación de inexistencia de autoridad judicial o de no vinculación a proceso judicial del bien objeto de la medida, la cual será resuelta en el término de 15 días hábiles posteriores a la presentación de la solicitud. Vencido este término sin que hubiere pronunciamiento de la autoridad competente, el administrador del FRISCO podrá disponer de los bienes definitivamente de acuerdo con lo previsto en la </w:t>
      </w:r>
      <w:hyperlink r:id="rId159" w:history="1">
        <w:r w:rsidRPr="00C5581B">
          <w:rPr>
            <w:rStyle w:val="Hipervnculo"/>
            <w:rFonts w:ascii="Times New Roman" w:hAnsi="Times New Roman"/>
            <w:i/>
          </w:rPr>
          <w:t>Ley 1708 de 2014</w:t>
        </w:r>
      </w:hyperlink>
      <w:r w:rsidRPr="00F53530">
        <w:rPr>
          <w:rFonts w:ascii="Times New Roman" w:hAnsi="Times New Roman"/>
          <w:i/>
        </w:rPr>
        <w:t>.</w:t>
      </w:r>
    </w:p>
    <w:p w14:paraId="045A3E8B" w14:textId="36DA0264"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El producto de la disposición de los bienes será administrado conforme a lo previsto en el artículo 93 de la </w:t>
      </w:r>
      <w:hyperlink r:id="rId160" w:history="1">
        <w:r w:rsidRPr="00C5581B">
          <w:rPr>
            <w:rStyle w:val="Hipervnculo"/>
            <w:rFonts w:ascii="Times New Roman" w:hAnsi="Times New Roman"/>
            <w:i/>
          </w:rPr>
          <w:t>Ley 1708</w:t>
        </w:r>
      </w:hyperlink>
      <w:r w:rsidRPr="00F53530">
        <w:rPr>
          <w:rFonts w:ascii="Times New Roman" w:hAnsi="Times New Roman"/>
          <w:i/>
        </w:rPr>
        <w:t xml:space="preserve"> en lo correspondiente a la constitución de la reserva técnica de los recursos que se generen.</w:t>
      </w:r>
    </w:p>
    <w:p w14:paraId="045A3E8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todos los eventos que el bien sea chatarrizado o destruido, el FRISCO deberá informar a quien aparezca como última autoridad que conoció el proceso. En estos casos, se procederá a la cancelación de la matrícula respectiva sin requisito de pago de obligaciones tributarias, sanciones o intereses que estas generen, revisión técnico-mecánica, seguro obligatorio y sin que el bien llegue por sus propios medios a la desintegradora.</w:t>
      </w:r>
    </w:p>
    <w:p w14:paraId="045A3E8D" w14:textId="77777777" w:rsidR="00040448" w:rsidRPr="00F53530" w:rsidRDefault="00040448" w:rsidP="00C44821">
      <w:pPr>
        <w:spacing w:before="240" w:after="240" w:line="240" w:lineRule="auto"/>
        <w:jc w:val="both"/>
        <w:rPr>
          <w:rFonts w:ascii="Times New Roman" w:hAnsi="Times New Roman"/>
        </w:rPr>
      </w:pPr>
      <w:r w:rsidRPr="00975FE0">
        <w:rPr>
          <w:rFonts w:ascii="Times New Roman" w:hAnsi="Times New Roman"/>
          <w:b/>
          <w:bCs/>
        </w:rPr>
        <w:t>ARTÍCULO 135.</w:t>
      </w:r>
      <w:r w:rsidR="00975FE0">
        <w:rPr>
          <w:rFonts w:ascii="Times New Roman" w:hAnsi="Times New Roman"/>
          <w:b/>
          <w:bCs/>
        </w:rPr>
        <w:t xml:space="preserve"> </w:t>
      </w:r>
      <w:r w:rsidRPr="00F53530">
        <w:rPr>
          <w:rFonts w:ascii="Times New Roman" w:hAnsi="Times New Roman"/>
        </w:rPr>
        <w:t xml:space="preserve">El parágrafo 2 del artículo 114-1 del </w:t>
      </w:r>
      <w:r w:rsidR="006E0953">
        <w:rPr>
          <w:rFonts w:ascii="Times New Roman" w:hAnsi="Times New Roman"/>
        </w:rPr>
        <w:t>*</w:t>
      </w:r>
      <w:r w:rsidRPr="00F53530">
        <w:rPr>
          <w:rFonts w:ascii="Times New Roman" w:hAnsi="Times New Roman"/>
        </w:rPr>
        <w:t>Estatuto Tributario, quedará así:</w:t>
      </w:r>
    </w:p>
    <w:p w14:paraId="045A3E8E" w14:textId="71B06CC9"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2.</w:t>
      </w:r>
      <w:r w:rsidR="00A03C6F" w:rsidRPr="00F53530">
        <w:rPr>
          <w:rFonts w:ascii="Times New Roman" w:hAnsi="Times New Roman"/>
          <w:i/>
        </w:rPr>
        <w:t xml:space="preserve"> </w:t>
      </w:r>
      <w:r w:rsidR="00040448" w:rsidRPr="00F53530">
        <w:rPr>
          <w:rFonts w:ascii="Times New Roman" w:hAnsi="Times New Roman"/>
          <w:i/>
        </w:rPr>
        <w:t xml:space="preserve">Las entidades que deben realizar el proceso de calificación de que trata el inciso segundo del artículo 19 del </w:t>
      </w:r>
      <w:r w:rsidR="006E0953">
        <w:rPr>
          <w:rFonts w:ascii="Times New Roman" w:hAnsi="Times New Roman"/>
          <w:i/>
        </w:rPr>
        <w:t>*</w:t>
      </w:r>
      <w:r w:rsidR="00040448" w:rsidRPr="00F53530">
        <w:rPr>
          <w:rFonts w:ascii="Times New Roman" w:hAnsi="Times New Roman"/>
          <w:i/>
        </w:rPr>
        <w:t xml:space="preserve">Estatuto Tributario, para ser admitidas como contribuyentes del régimen tributario especial, estarán obligadas a realizar los aportes parafiscales y las cotizaciones de que tratan los artículos 202 y 204 de la </w:t>
      </w:r>
      <w:r w:rsidR="00E01128">
        <w:rPr>
          <w:rFonts w:ascii="Times New Roman" w:hAnsi="Times New Roman"/>
          <w:i/>
        </w:rPr>
        <w:t>*</w:t>
      </w:r>
      <w:r w:rsidR="00040448" w:rsidRPr="00F53530">
        <w:rPr>
          <w:rFonts w:ascii="Times New Roman" w:hAnsi="Times New Roman"/>
          <w:i/>
        </w:rPr>
        <w:t xml:space="preserve">Ley 100 de 1993 y las pertinentes de la </w:t>
      </w:r>
      <w:hyperlink r:id="rId161" w:history="1">
        <w:r w:rsidR="00040448" w:rsidRPr="00CF6484">
          <w:rPr>
            <w:rStyle w:val="Hipervnculo"/>
            <w:rFonts w:ascii="Times New Roman" w:hAnsi="Times New Roman"/>
            <w:i/>
          </w:rPr>
          <w:t>Ley 1122 de 2007</w:t>
        </w:r>
      </w:hyperlink>
      <w:r w:rsidR="00040448" w:rsidRPr="00F53530">
        <w:rPr>
          <w:rFonts w:ascii="Times New Roman" w:hAnsi="Times New Roman"/>
          <w:i/>
        </w:rPr>
        <w:t xml:space="preserve">, el artículo 7 de la </w:t>
      </w:r>
      <w:hyperlink r:id="rId162" w:history="1">
        <w:r w:rsidR="00040448" w:rsidRPr="00CF6484">
          <w:rPr>
            <w:rStyle w:val="Hipervnculo"/>
            <w:rFonts w:ascii="Times New Roman" w:hAnsi="Times New Roman"/>
            <w:i/>
          </w:rPr>
          <w:t>Ley 21 de 1982</w:t>
        </w:r>
      </w:hyperlink>
      <w:r w:rsidR="00040448" w:rsidRPr="00F53530">
        <w:rPr>
          <w:rFonts w:ascii="Times New Roman" w:hAnsi="Times New Roman"/>
          <w:i/>
        </w:rPr>
        <w:t xml:space="preserve">, los artículos 2 y 3 de la </w:t>
      </w:r>
      <w:hyperlink r:id="rId163" w:history="1">
        <w:r w:rsidR="00040448" w:rsidRPr="00C56C19">
          <w:rPr>
            <w:rStyle w:val="Hipervnculo"/>
            <w:rFonts w:ascii="Times New Roman" w:hAnsi="Times New Roman"/>
            <w:i/>
          </w:rPr>
          <w:t>Ley 27 de 1974</w:t>
        </w:r>
      </w:hyperlink>
      <w:r w:rsidR="00040448" w:rsidRPr="00F53530">
        <w:rPr>
          <w:rFonts w:ascii="Times New Roman" w:hAnsi="Times New Roman"/>
          <w:i/>
        </w:rPr>
        <w:t xml:space="preserve"> y el artículo 1 de la </w:t>
      </w:r>
      <w:hyperlink r:id="rId164" w:history="1">
        <w:r w:rsidR="00040448" w:rsidRPr="00C56C19">
          <w:rPr>
            <w:rStyle w:val="Hipervnculo"/>
            <w:rFonts w:ascii="Times New Roman" w:hAnsi="Times New Roman"/>
            <w:i/>
          </w:rPr>
          <w:t>Ley 89 de 1988</w:t>
        </w:r>
      </w:hyperlink>
      <w:r w:rsidR="00040448" w:rsidRPr="00F53530">
        <w:rPr>
          <w:rFonts w:ascii="Times New Roman" w:hAnsi="Times New Roman"/>
          <w:i/>
        </w:rPr>
        <w:t>, y de acuerdo con los requisitos y condiciones establecidos en las normas aplicables.</w:t>
      </w:r>
    </w:p>
    <w:p w14:paraId="045A3E8F"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Las entidades de que trata el artículo 19-4 del </w:t>
      </w:r>
      <w:r w:rsidR="006E0953">
        <w:rPr>
          <w:rFonts w:ascii="Times New Roman" w:hAnsi="Times New Roman"/>
          <w:i/>
        </w:rPr>
        <w:t>*</w:t>
      </w:r>
      <w:r w:rsidRPr="00F53530">
        <w:rPr>
          <w:rFonts w:ascii="Times New Roman" w:hAnsi="Times New Roman"/>
          <w:i/>
        </w:rPr>
        <w:t>Estatuto Tributario conservan el derecho a la exoneración de que trata este artículo.</w:t>
      </w:r>
    </w:p>
    <w:p w14:paraId="045A3E90" w14:textId="77777777" w:rsidR="006E0953" w:rsidRDefault="006E0953"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w:t>
      </w:r>
      <w:r w:rsidR="00E01128">
        <w:rPr>
          <w:rFonts w:ascii="Times New Roman" w:hAnsi="Times New Roman"/>
          <w:highlight w:val="green"/>
        </w:rPr>
        <w:t xml:space="preserve"> y a la Ley 100 de 1993</w:t>
      </w:r>
      <w:r w:rsidRPr="008D21E5">
        <w:rPr>
          <w:rFonts w:ascii="Times New Roman" w:hAnsi="Times New Roman"/>
          <w:highlight w:val="green"/>
        </w:rPr>
        <w:t>, le sugerimos remitirse a la publicación de nuestro Grupo Editorial Nueva Legislación “Estatuto Tributario Nacional”</w:t>
      </w:r>
      <w:r w:rsidR="00E01128">
        <w:rPr>
          <w:rFonts w:ascii="Times New Roman" w:hAnsi="Times New Roman"/>
          <w:highlight w:val="green"/>
        </w:rPr>
        <w:t xml:space="preserve"> y </w:t>
      </w:r>
      <w:r w:rsidR="00E01128" w:rsidRPr="00C92E66">
        <w:rPr>
          <w:rFonts w:ascii="Times New Roman" w:hAnsi="Times New Roman"/>
          <w:highlight w:val="green"/>
        </w:rPr>
        <w:t>“</w:t>
      </w:r>
      <w:r w:rsidR="00E01128">
        <w:rPr>
          <w:rFonts w:ascii="Times New Roman" w:hAnsi="Times New Roman"/>
          <w:highlight w:val="green"/>
        </w:rPr>
        <w:t>Sistema de Seguridad Social Integral</w:t>
      </w:r>
      <w:r w:rsidR="00E01128" w:rsidRPr="00C92E66">
        <w:rPr>
          <w:rFonts w:ascii="Times New Roman" w:hAnsi="Times New Roman"/>
          <w:highlight w:val="green"/>
        </w:rPr>
        <w:t>”.</w:t>
      </w:r>
    </w:p>
    <w:p w14:paraId="045A3E91" w14:textId="77777777" w:rsidR="00040448" w:rsidRPr="00F53530" w:rsidRDefault="00040448" w:rsidP="00C44821">
      <w:pPr>
        <w:spacing w:before="240" w:after="240" w:line="240" w:lineRule="auto"/>
        <w:jc w:val="both"/>
        <w:rPr>
          <w:rFonts w:ascii="Times New Roman" w:hAnsi="Times New Roman"/>
        </w:rPr>
      </w:pPr>
      <w:r w:rsidRPr="00975FE0">
        <w:rPr>
          <w:rFonts w:ascii="Times New Roman" w:hAnsi="Times New Roman"/>
          <w:b/>
          <w:bCs/>
        </w:rPr>
        <w:lastRenderedPageBreak/>
        <w:t>ARTÍCULO 136.</w:t>
      </w:r>
      <w:r w:rsidR="00975FE0">
        <w:rPr>
          <w:rFonts w:ascii="Times New Roman" w:hAnsi="Times New Roman"/>
          <w:b/>
          <w:bCs/>
        </w:rPr>
        <w:t xml:space="preserve"> </w:t>
      </w:r>
      <w:r w:rsidRPr="00F53530">
        <w:rPr>
          <w:rFonts w:ascii="Times New Roman" w:hAnsi="Times New Roman"/>
        </w:rPr>
        <w:t xml:space="preserve">Adiciónense los parágrafos 5 y 6 al artículo 771-5 del </w:t>
      </w:r>
      <w:r w:rsidR="006E0953">
        <w:rPr>
          <w:rFonts w:ascii="Times New Roman" w:hAnsi="Times New Roman"/>
        </w:rPr>
        <w:t>*</w:t>
      </w:r>
      <w:r w:rsidRPr="00F53530">
        <w:rPr>
          <w:rFonts w:ascii="Times New Roman" w:hAnsi="Times New Roman"/>
        </w:rPr>
        <w:t>Estatuto Tributario, los cuales quedarán así:</w:t>
      </w:r>
    </w:p>
    <w:p w14:paraId="045A3E92"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5.</w:t>
      </w:r>
      <w:r w:rsidRPr="00F53530">
        <w:rPr>
          <w:rFonts w:ascii="Times New Roman" w:hAnsi="Times New Roman"/>
          <w:i/>
        </w:rPr>
        <w:t xml:space="preserve"> </w:t>
      </w:r>
      <w:r w:rsidR="00040448" w:rsidRPr="00F53530">
        <w:rPr>
          <w:rFonts w:ascii="Times New Roman" w:hAnsi="Times New Roman"/>
          <w:i/>
        </w:rPr>
        <w:t>Tratándose de los pagos en efectivo que efectúen los contribuyentes o responsables pertenecientes al sector agropecuario, de las actividades agrícola, ganadera, pesquera, acuícola, avícola y forestal, así como los comercializadores del régimen SIMPLE y las cooperativas y asociaciones de productores del sector agrícola que comercialicen productos adquiridos directamente al productor, podrán tener reconocimiento fiscal dichos pagos como costos, deducciones, pasivos o impuestos descontables, independientemente del número de pagos que se realicen durante el año, así:</w:t>
      </w:r>
    </w:p>
    <w:p w14:paraId="045A3E93"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En el año 2020, el ochenta y cinco por ciento (85%) de los costos, deducciones, pasivos o impuestos descontables totales.</w:t>
      </w:r>
    </w:p>
    <w:p w14:paraId="045A3E94"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En el año 2021, el setenta y cinco por ciento (75%) de los costos, deducciones, pasivos o impuestos descontables totales.</w:t>
      </w:r>
    </w:p>
    <w:p w14:paraId="045A3E9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A partir del año 2022, el setenta (70%) de los costos, deducciones, pasivos o impuestos descontables totales.</w:t>
      </w:r>
    </w:p>
    <w:p w14:paraId="045A3E96"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6.</w:t>
      </w:r>
      <w:r w:rsidRPr="00F53530">
        <w:rPr>
          <w:rFonts w:ascii="Times New Roman" w:hAnsi="Times New Roman"/>
          <w:i/>
        </w:rPr>
        <w:t xml:space="preserve"> </w:t>
      </w:r>
      <w:r w:rsidR="00040448" w:rsidRPr="00F53530">
        <w:rPr>
          <w:rFonts w:ascii="Times New Roman" w:hAnsi="Times New Roman"/>
          <w:i/>
        </w:rPr>
        <w:t>El cien por ciento (100%) de los pagos en efectivo que realicen los contribuyentes por compras de pescado fresco, congelado, refrigerado o salado, procedente de la Cuenca Amazónica, que se clasifique en las partidas arancelarias 0302, 0303 y 0305 del Arancel de Aduanas, cuyo ingreso se realice por la jurisdicción correspondiente al Municipio de Leticia, podrán tener reconocimiento fiscal como costos, deducciones, pasivos o impuestos descontables.</w:t>
      </w:r>
    </w:p>
    <w:p w14:paraId="045A3E97" w14:textId="77777777" w:rsidR="00040448" w:rsidRPr="00F53530" w:rsidRDefault="00040448" w:rsidP="00C44821">
      <w:pPr>
        <w:spacing w:before="240" w:after="240" w:line="240" w:lineRule="auto"/>
        <w:jc w:val="both"/>
        <w:rPr>
          <w:rFonts w:ascii="Times New Roman" w:hAnsi="Times New Roman"/>
        </w:rPr>
      </w:pPr>
      <w:r w:rsidRPr="00975FE0">
        <w:rPr>
          <w:rFonts w:ascii="Times New Roman" w:hAnsi="Times New Roman"/>
          <w:b/>
          <w:bCs/>
        </w:rPr>
        <w:t>ARTÍCULO 137. COMISIÓN DE ESTUDIO DE BENEFICIOS TRIBUTARIOS.</w:t>
      </w:r>
      <w:r w:rsidR="00975FE0">
        <w:rPr>
          <w:rFonts w:ascii="Times New Roman" w:hAnsi="Times New Roman"/>
          <w:b/>
          <w:bCs/>
        </w:rPr>
        <w:t xml:space="preserve"> </w:t>
      </w:r>
      <w:r w:rsidRPr="00F53530">
        <w:rPr>
          <w:rFonts w:ascii="Times New Roman" w:hAnsi="Times New Roman"/>
        </w:rPr>
        <w:t>Créase una Comisión de Expertos para estudiar los beneficios tributarios vigentes en el sistema tributario nacional, con el objeto de evaluar su conveniencia y proponer una reforma orientada a mantener los beneficios tributarios que sean eficientes, permitan la reactivación de la economía, fomenten el empleo, emprendimiento y formalización laboral, empresarial y tributaria que se fundamenten en los principios que rigen el sistema tributario nacional. La Comisión de Expertos podrá convocar a expertos de distintas áreas, en calidad de invitados.</w:t>
      </w:r>
    </w:p>
    <w:p w14:paraId="045A3E98"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La Comisión de Expertos se conformará a más tardar, dentro de los cuatro (4) meses siguientes a la entrada en vigencia de la presente ley, la cual estará integrada por el Director General de la Dirección de Impuestos y Aduanas Nacionales (DIAN) o su delegado, el Viceministro Técnico del Ministerio de Hacienda y Crédito Público o su delegado, el Ministro de Comercio, Industria y Turismo o su delegado, el Ministro de Agricultura y Desarrollo Rural o su delegado, Ministro de Trabajo o su delegado y cinco (5) expertos internacionales. La Comisión será presidida por el Viceministro Técnico del Ministerio de Hacienda y Crédito Público y el Director General de la Dirección de Impuestos y Aduanas Nacionales (DIAN).</w:t>
      </w:r>
    </w:p>
    <w:p w14:paraId="045A3E99"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La Comisión deberá entregar sus propuestas al Ministro de Hacienda y Crédito Público máximo en dieciocho (18) meses contados a partir de su conformación.</w:t>
      </w:r>
    </w:p>
    <w:p w14:paraId="045A3E9A" w14:textId="77777777" w:rsidR="00040448" w:rsidRDefault="00040448" w:rsidP="00C44821">
      <w:pPr>
        <w:spacing w:before="240" w:after="240" w:line="240" w:lineRule="auto"/>
        <w:jc w:val="both"/>
        <w:rPr>
          <w:rFonts w:ascii="Times New Roman" w:hAnsi="Times New Roman"/>
        </w:rPr>
      </w:pPr>
      <w:r w:rsidRPr="00F53530">
        <w:rPr>
          <w:rFonts w:ascii="Times New Roman" w:hAnsi="Times New Roman"/>
        </w:rPr>
        <w:t>El Ministerio de Hacienda y Crédito Público y la Dirección de Impuestos y Aduanas Nacionales (DIAN) determinarán mediante resolución el funcionamiento de dicha Comisión, la cual se dictará su propio reglamento.</w:t>
      </w:r>
    </w:p>
    <w:p w14:paraId="045A3E9B" w14:textId="77777777" w:rsidR="00C83AAF" w:rsidRPr="00234A67" w:rsidRDefault="00C83AAF" w:rsidP="00C44821">
      <w:pPr>
        <w:spacing w:after="0" w:line="240" w:lineRule="auto"/>
        <w:jc w:val="both"/>
        <w:rPr>
          <w:rFonts w:ascii="Times New Roman" w:hAnsi="Times New Roman"/>
          <w:b/>
          <w:highlight w:val="yellow"/>
        </w:rPr>
      </w:pPr>
      <w:r w:rsidRPr="00234A67">
        <w:rPr>
          <w:rFonts w:ascii="Times New Roman" w:hAnsi="Times New Roman"/>
          <w:b/>
          <w:highlight w:val="yellow"/>
        </w:rPr>
        <w:t>CONCORDANCIAS:</w:t>
      </w:r>
    </w:p>
    <w:p w14:paraId="045A3E9C" w14:textId="6E46D3CF" w:rsidR="00C83AAF" w:rsidRPr="00234A67" w:rsidRDefault="00234A67" w:rsidP="00C44821">
      <w:pPr>
        <w:numPr>
          <w:ilvl w:val="0"/>
          <w:numId w:val="1"/>
        </w:numPr>
        <w:spacing w:after="0" w:line="240" w:lineRule="auto"/>
        <w:jc w:val="both"/>
        <w:rPr>
          <w:rFonts w:ascii="Times New Roman" w:hAnsi="Times New Roman"/>
          <w:b/>
          <w:highlight w:val="yellow"/>
        </w:rPr>
      </w:pPr>
      <w:hyperlink r:id="rId165" w:history="1">
        <w:r w:rsidRPr="00234A67">
          <w:rPr>
            <w:rStyle w:val="Hipervnculo"/>
            <w:rFonts w:ascii="Times New Roman" w:hAnsi="Times New Roman"/>
            <w:b/>
            <w:highlight w:val="yellow"/>
          </w:rPr>
          <w:t>Resolución Ministerio de Hacienda y Crédito Público No. 1046 de 27 de abril de 2020</w:t>
        </w:r>
      </w:hyperlink>
      <w:r w:rsidRPr="00234A67">
        <w:rPr>
          <w:rFonts w:ascii="Times New Roman" w:hAnsi="Times New Roman"/>
          <w:b/>
          <w:highlight w:val="yellow"/>
        </w:rPr>
        <w:t xml:space="preserve">: </w:t>
      </w:r>
      <w:r w:rsidRPr="00234A67">
        <w:rPr>
          <w:rFonts w:ascii="Times New Roman" w:hAnsi="Times New Roman"/>
          <w:highlight w:val="yellow"/>
        </w:rPr>
        <w:t>Por la cual se determina el funcionamiento de la Comisión de Estudio de Beneficios Tributarios de que trata el artículo 137 de la Ley 2010 de 2019.</w:t>
      </w:r>
    </w:p>
    <w:p w14:paraId="045A3E9D" w14:textId="7F365893" w:rsidR="00040448" w:rsidRPr="00F53530" w:rsidRDefault="00040448" w:rsidP="00C44821">
      <w:pPr>
        <w:spacing w:before="240" w:after="240" w:line="240" w:lineRule="auto"/>
        <w:jc w:val="both"/>
        <w:rPr>
          <w:rFonts w:ascii="Times New Roman" w:hAnsi="Times New Roman"/>
        </w:rPr>
      </w:pPr>
      <w:r w:rsidRPr="00975FE0">
        <w:rPr>
          <w:rFonts w:ascii="Times New Roman" w:hAnsi="Times New Roman"/>
          <w:b/>
          <w:bCs/>
        </w:rPr>
        <w:t>ARTÍCULO 138.</w:t>
      </w:r>
      <w:r w:rsidR="00975FE0">
        <w:rPr>
          <w:rFonts w:ascii="Times New Roman" w:hAnsi="Times New Roman"/>
          <w:b/>
          <w:bCs/>
        </w:rPr>
        <w:t xml:space="preserve"> </w:t>
      </w:r>
      <w:r w:rsidRPr="00F53530">
        <w:rPr>
          <w:rFonts w:ascii="Times New Roman" w:hAnsi="Times New Roman"/>
        </w:rPr>
        <w:t xml:space="preserve">Modifíquese el artículo 96 de la </w:t>
      </w:r>
      <w:hyperlink r:id="rId166" w:history="1">
        <w:r w:rsidRPr="00F50CA6">
          <w:rPr>
            <w:rStyle w:val="Hipervnculo"/>
            <w:rFonts w:ascii="Times New Roman" w:hAnsi="Times New Roman"/>
          </w:rPr>
          <w:t>Ley 788 de 2002</w:t>
        </w:r>
      </w:hyperlink>
      <w:r w:rsidRPr="00F53530">
        <w:rPr>
          <w:rFonts w:ascii="Times New Roman" w:hAnsi="Times New Roman"/>
        </w:rPr>
        <w:t>, el cual quedará así:</w:t>
      </w:r>
    </w:p>
    <w:p w14:paraId="045A3E9E" w14:textId="77777777" w:rsidR="00040448" w:rsidRPr="00F53530" w:rsidRDefault="00040448" w:rsidP="00C44821">
      <w:pPr>
        <w:spacing w:before="240" w:after="240" w:line="240" w:lineRule="auto"/>
        <w:jc w:val="both"/>
        <w:rPr>
          <w:rFonts w:ascii="Times New Roman" w:hAnsi="Times New Roman"/>
          <w:i/>
        </w:rPr>
      </w:pPr>
      <w:r w:rsidRPr="00A647A3">
        <w:rPr>
          <w:rFonts w:ascii="Times New Roman" w:hAnsi="Times New Roman"/>
          <w:b/>
          <w:i/>
        </w:rPr>
        <w:t>Artículo 96</w:t>
      </w:r>
      <w:r w:rsidR="00280B8A" w:rsidRPr="00A647A3">
        <w:rPr>
          <w:rFonts w:ascii="Times New Roman" w:hAnsi="Times New Roman"/>
          <w:b/>
          <w:i/>
        </w:rPr>
        <w:t>.</w:t>
      </w:r>
      <w:r w:rsidRPr="00A647A3">
        <w:rPr>
          <w:rFonts w:ascii="Times New Roman" w:hAnsi="Times New Roman"/>
          <w:b/>
          <w:i/>
        </w:rPr>
        <w:t xml:space="preserve"> Exención para las donaciones de gobiernos o entidades extranjeras. </w:t>
      </w:r>
      <w:r w:rsidRPr="00F53530">
        <w:rPr>
          <w:rFonts w:ascii="Times New Roman" w:hAnsi="Times New Roman"/>
          <w:i/>
        </w:rPr>
        <w:t>Se encuentran exentos de todo impuesto, tasa o contribución, los fondos provenientes de auxilios o donaciones de entidades o gobiernos extranjeros convenidos con el Gobierno colombiano, destinados a realizar programas de utilidad común y registrados en la Agencia Presidencial de la Cooperación Internacional. También gozarán de este beneficio tributario las compras o importaciones de bienes y la adquisición de servicios realizados con los fondos donados, siempre que se destinen exclusivamente al objeto de la donación. El Gobierno nacional reglamentará la aplicación de esta exención.</w:t>
      </w:r>
    </w:p>
    <w:p w14:paraId="045A3E9F" w14:textId="0E510739" w:rsidR="00040448" w:rsidRPr="00F53530" w:rsidRDefault="00040448" w:rsidP="00C44821">
      <w:pPr>
        <w:spacing w:before="240" w:after="240" w:line="240" w:lineRule="auto"/>
        <w:jc w:val="both"/>
        <w:rPr>
          <w:rFonts w:ascii="Times New Roman" w:hAnsi="Times New Roman"/>
        </w:rPr>
      </w:pPr>
      <w:r w:rsidRPr="00975FE0">
        <w:rPr>
          <w:rFonts w:ascii="Times New Roman" w:hAnsi="Times New Roman"/>
          <w:b/>
          <w:bCs/>
        </w:rPr>
        <w:t>ARTÍCULO 139.</w:t>
      </w:r>
      <w:r w:rsidR="00975FE0">
        <w:rPr>
          <w:rFonts w:ascii="Times New Roman" w:hAnsi="Times New Roman"/>
          <w:b/>
          <w:bCs/>
        </w:rPr>
        <w:t xml:space="preserve"> </w:t>
      </w:r>
      <w:r w:rsidRPr="00F53530">
        <w:rPr>
          <w:rFonts w:ascii="Times New Roman" w:hAnsi="Times New Roman"/>
        </w:rPr>
        <w:t xml:space="preserve">Adiciónese un parágrafo 2 al artículo 244 de la </w:t>
      </w:r>
      <w:hyperlink r:id="rId167" w:history="1">
        <w:r w:rsidRPr="00875677">
          <w:rPr>
            <w:rStyle w:val="Hipervnculo"/>
            <w:rFonts w:ascii="Times New Roman" w:hAnsi="Times New Roman"/>
          </w:rPr>
          <w:t>Ley 1955 de 2019</w:t>
        </w:r>
      </w:hyperlink>
      <w:r w:rsidRPr="00F53530">
        <w:rPr>
          <w:rFonts w:ascii="Times New Roman" w:hAnsi="Times New Roman"/>
        </w:rPr>
        <w:t>, el cual quedará así:</w:t>
      </w:r>
    </w:p>
    <w:p w14:paraId="045A3EA0" w14:textId="796FCD49" w:rsidR="003C248E" w:rsidRPr="003C248E" w:rsidRDefault="003C248E" w:rsidP="00C44821">
      <w:pPr>
        <w:spacing w:before="240" w:after="240" w:line="240" w:lineRule="auto"/>
        <w:jc w:val="both"/>
        <w:rPr>
          <w:rFonts w:ascii="Times New Roman" w:hAnsi="Times New Roman"/>
          <w:i/>
        </w:rPr>
      </w:pPr>
      <w:r w:rsidRPr="003C248E">
        <w:rPr>
          <w:rFonts w:ascii="Times New Roman" w:hAnsi="Times New Roman"/>
          <w:b/>
          <w:i/>
        </w:rPr>
        <w:t xml:space="preserve">“PARÁGRAFO 2. </w:t>
      </w:r>
      <w:r w:rsidRPr="003C248E">
        <w:rPr>
          <w:rFonts w:ascii="Times New Roman" w:hAnsi="Times New Roman"/>
          <w:b/>
          <w:i/>
          <w:lang w:val="es-ES"/>
        </w:rPr>
        <w:t xml:space="preserve">(Parágrafo 2 </w:t>
      </w:r>
      <w:r w:rsidRPr="003C248E">
        <w:rPr>
          <w:rFonts w:ascii="Times New Roman" w:hAnsi="Times New Roman"/>
          <w:b/>
          <w:i/>
        </w:rPr>
        <w:t xml:space="preserve">corregido por el artículo 1 del </w:t>
      </w:r>
      <w:hyperlink r:id="rId168" w:history="1">
        <w:r w:rsidRPr="003C248E">
          <w:rPr>
            <w:rStyle w:val="Hipervnculo"/>
            <w:rFonts w:ascii="Times New Roman" w:hAnsi="Times New Roman"/>
            <w:b/>
            <w:i/>
          </w:rPr>
          <w:t>Decreto 690 de 22 mayo 2020</w:t>
        </w:r>
      </w:hyperlink>
      <w:r w:rsidRPr="003C248E">
        <w:rPr>
          <w:rFonts w:ascii="Times New Roman" w:hAnsi="Times New Roman"/>
          <w:b/>
          <w:i/>
        </w:rPr>
        <w:t>).</w:t>
      </w:r>
      <w:r w:rsidRPr="003C248E">
        <w:rPr>
          <w:rFonts w:ascii="Times New Roman" w:hAnsi="Times New Roman"/>
          <w:i/>
          <w:lang w:val="es-ES"/>
        </w:rPr>
        <w:t xml:space="preserve"> </w:t>
      </w:r>
      <w:r w:rsidRPr="003C248E">
        <w:rPr>
          <w:rFonts w:ascii="Times New Roman" w:hAnsi="Times New Roman"/>
          <w:i/>
        </w:rPr>
        <w:t>La UGPP podrá aplicar el esquema de presunción previsto en el 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p>
    <w:p w14:paraId="045A3EA1" w14:textId="77777777" w:rsidR="003C248E" w:rsidRPr="003C248E" w:rsidRDefault="003C248E" w:rsidP="00C44821">
      <w:pPr>
        <w:spacing w:before="240" w:after="240" w:line="240" w:lineRule="auto"/>
        <w:jc w:val="both"/>
        <w:rPr>
          <w:rFonts w:ascii="Times New Roman" w:hAnsi="Times New Roman"/>
          <w:i/>
        </w:rPr>
      </w:pPr>
      <w:r w:rsidRPr="003C248E">
        <w:rPr>
          <w:rFonts w:ascii="Times New Roman" w:hAnsi="Times New Roman"/>
          <w:i/>
        </w:rPr>
        <w:t>Los plazos que se encuentren cursando para resolver recursos o la revocatoria directa de actos administrativos proferidos por la UGPP en la materia, se ampliarán en el mismo término del inicialmente definido por la Ley.</w:t>
      </w:r>
    </w:p>
    <w:p w14:paraId="045A3EA2" w14:textId="77777777" w:rsidR="003C248E" w:rsidRPr="003C248E" w:rsidRDefault="003C248E" w:rsidP="00C44821">
      <w:pPr>
        <w:spacing w:before="240" w:after="240" w:line="240" w:lineRule="auto"/>
        <w:jc w:val="both"/>
        <w:rPr>
          <w:rFonts w:ascii="Times New Roman" w:hAnsi="Times New Roman"/>
          <w:i/>
        </w:rPr>
      </w:pPr>
      <w:r w:rsidRPr="003C248E">
        <w:rPr>
          <w:rFonts w:ascii="Times New Roman" w:hAnsi="Times New Roman"/>
          <w:i/>
        </w:rPr>
        <w:t>A las decisiones resultantes de la aplicación de la presente disposición también le será aplicable lo dispuesto en el artículo 119 de la presente ley, cuyo plazo para solicitar la transacción con la UGPP será el 31 de diciembre de 2020</w:t>
      </w:r>
      <w:r>
        <w:rPr>
          <w:rFonts w:ascii="Times New Roman" w:hAnsi="Times New Roman"/>
          <w:i/>
        </w:rPr>
        <w:t>”</w:t>
      </w:r>
      <w:r w:rsidRPr="003C248E">
        <w:rPr>
          <w:rFonts w:ascii="Times New Roman" w:hAnsi="Times New Roman"/>
          <w:i/>
        </w:rPr>
        <w:t>.</w:t>
      </w:r>
    </w:p>
    <w:p w14:paraId="045A3EA3" w14:textId="77777777" w:rsidR="00040448" w:rsidRPr="00F53530" w:rsidRDefault="00040448" w:rsidP="00C44821">
      <w:pPr>
        <w:spacing w:before="240" w:after="240" w:line="240" w:lineRule="auto"/>
        <w:jc w:val="both"/>
        <w:rPr>
          <w:rFonts w:ascii="Times New Roman" w:hAnsi="Times New Roman"/>
        </w:rPr>
      </w:pPr>
      <w:r w:rsidRPr="00975FE0">
        <w:rPr>
          <w:rFonts w:ascii="Times New Roman" w:hAnsi="Times New Roman"/>
          <w:b/>
          <w:bCs/>
        </w:rPr>
        <w:t>ARTÍCULO 140. DEFENSOR DEL CONTRIBUYENTE.</w:t>
      </w:r>
      <w:r w:rsidR="00975FE0">
        <w:rPr>
          <w:rFonts w:ascii="Times New Roman" w:hAnsi="Times New Roman"/>
          <w:b/>
          <w:bCs/>
        </w:rPr>
        <w:t xml:space="preserve"> </w:t>
      </w:r>
      <w:r w:rsidRPr="00F53530">
        <w:rPr>
          <w:rFonts w:ascii="Times New Roman" w:hAnsi="Times New Roman"/>
        </w:rPr>
        <w:t>Con el fin de garantizar el respeto a los derechos de los contribuyentes, responsables, agentes de retención, declarantes y usuarios aduaneros, el Gobierno nacional deberá tomar las medidas que busquen ampliar la planta de personal del Órgano Especial Defensor del Contribuyente y del Usuario Aduanero en el porcentaje que determine el estudio técnico correspondiente.</w:t>
      </w:r>
    </w:p>
    <w:p w14:paraId="045A3EA4"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El Órgano Especial Defensor del Contribuyente y del Usuario Aduanero, como mínimo, contará con un delegado por cada una de las Direcciones Seccionales Tipo III, previa disponibilidad presupuestal.</w:t>
      </w:r>
    </w:p>
    <w:p w14:paraId="045A3EA5" w14:textId="77777777" w:rsidR="00040448" w:rsidRPr="00F53530" w:rsidRDefault="00040448" w:rsidP="00C44821">
      <w:pPr>
        <w:spacing w:before="240" w:after="240" w:line="240" w:lineRule="auto"/>
        <w:jc w:val="both"/>
        <w:rPr>
          <w:rFonts w:ascii="Times New Roman" w:hAnsi="Times New Roman"/>
        </w:rPr>
      </w:pPr>
      <w:r w:rsidRPr="00975FE0">
        <w:rPr>
          <w:rFonts w:ascii="Times New Roman" w:hAnsi="Times New Roman"/>
          <w:b/>
          <w:bCs/>
        </w:rPr>
        <w:t>ARTÍCULO 141. INFORME SOBRE LOS EFECTOS DE SUSTITUIR EL IVA POR EL IMPUESTO NACIONAL AL CONSUMO.</w:t>
      </w:r>
      <w:r w:rsidR="00975FE0">
        <w:rPr>
          <w:rFonts w:ascii="Times New Roman" w:hAnsi="Times New Roman"/>
          <w:b/>
          <w:bCs/>
        </w:rPr>
        <w:t xml:space="preserve"> </w:t>
      </w:r>
      <w:r w:rsidRPr="00F53530">
        <w:rPr>
          <w:rFonts w:ascii="Times New Roman" w:hAnsi="Times New Roman"/>
        </w:rPr>
        <w:t>El Gobierno nacional en un término no mayor a seis (6) meses contados a partir de la promulgación de la presente ley, deberá entregar en las Secretarías Generales tanto de Senado como de Cámara de Representantes un informe que establezca técnicamente los efectos que generaría la eliminación y sustitución del IVA por el Impuesto Nacional al Consumo con una tarifa del 8%.</w:t>
      </w:r>
    </w:p>
    <w:p w14:paraId="045A3EA6"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Dicho informe deberá ser expuesto ante el Congreso de la República en sesión plenaria por separado tanto al Senado de la República como a la Cámara de Representantes.</w:t>
      </w:r>
    </w:p>
    <w:p w14:paraId="045A3EA7" w14:textId="77777777" w:rsidR="00040448" w:rsidRPr="00F53530" w:rsidRDefault="00040448" w:rsidP="00C44821">
      <w:pPr>
        <w:spacing w:before="240" w:after="240" w:line="240" w:lineRule="auto"/>
        <w:jc w:val="both"/>
        <w:rPr>
          <w:rFonts w:ascii="Times New Roman" w:hAnsi="Times New Roman"/>
        </w:rPr>
      </w:pPr>
      <w:r w:rsidRPr="00975FE0">
        <w:rPr>
          <w:rFonts w:ascii="Times New Roman" w:hAnsi="Times New Roman"/>
          <w:b/>
          <w:bCs/>
        </w:rPr>
        <w:lastRenderedPageBreak/>
        <w:t>ARTÍCULO 142.</w:t>
      </w:r>
      <w:r w:rsidR="00975FE0">
        <w:rPr>
          <w:rFonts w:ascii="Times New Roman" w:hAnsi="Times New Roman"/>
          <w:b/>
          <w:bCs/>
        </w:rPr>
        <w:t xml:space="preserve"> </w:t>
      </w:r>
      <w:r w:rsidRPr="00F53530">
        <w:rPr>
          <w:rFonts w:ascii="Times New Roman" w:hAnsi="Times New Roman"/>
        </w:rPr>
        <w:t xml:space="preserve">Adiciónese el parágrafo 5 al artículo 204 de la </w:t>
      </w:r>
      <w:r w:rsidR="00E01128">
        <w:rPr>
          <w:rFonts w:ascii="Times New Roman" w:hAnsi="Times New Roman"/>
        </w:rPr>
        <w:t>*</w:t>
      </w:r>
      <w:r w:rsidRPr="00F53530">
        <w:rPr>
          <w:rFonts w:ascii="Times New Roman" w:hAnsi="Times New Roman"/>
        </w:rPr>
        <w:t>Ley 100 de 1993, el cual quedará así:</w:t>
      </w:r>
    </w:p>
    <w:p w14:paraId="045A3EA8"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 xml:space="preserve">PARÁGRAFO 5. </w:t>
      </w:r>
      <w:r w:rsidR="00040448" w:rsidRPr="00F53530">
        <w:rPr>
          <w:rFonts w:ascii="Times New Roman" w:hAnsi="Times New Roman"/>
          <w:i/>
        </w:rPr>
        <w:t>La cotización mensual en salud al régimen contributivo a cargo de los pensionados para los años 2020 y 2021 se determinará mediante la siguiente tabla:</w:t>
      </w:r>
    </w:p>
    <w:tbl>
      <w:tblPr>
        <w:tblW w:w="7640" w:type="dxa"/>
        <w:jc w:val="center"/>
        <w:tblCellMar>
          <w:left w:w="70" w:type="dxa"/>
          <w:right w:w="70" w:type="dxa"/>
        </w:tblCellMar>
        <w:tblLook w:val="04A0" w:firstRow="1" w:lastRow="0" w:firstColumn="1" w:lastColumn="0" w:noHBand="0" w:noVBand="1"/>
      </w:tblPr>
      <w:tblGrid>
        <w:gridCol w:w="4160"/>
        <w:gridCol w:w="3480"/>
      </w:tblGrid>
      <w:tr w:rsidR="00547CE5" w:rsidRPr="00F53530" w14:paraId="045A3EAB" w14:textId="77777777" w:rsidTr="002470F0">
        <w:trPr>
          <w:trHeight w:val="900"/>
          <w:tblHeader/>
          <w:jc w:val="center"/>
        </w:trPr>
        <w:tc>
          <w:tcPr>
            <w:tcW w:w="41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5A3EA9" w14:textId="77777777" w:rsidR="00547CE5" w:rsidRPr="00F53530" w:rsidRDefault="00547CE5" w:rsidP="00C44821">
            <w:pPr>
              <w:spacing w:after="0" w:line="240" w:lineRule="auto"/>
              <w:jc w:val="center"/>
              <w:rPr>
                <w:rFonts w:ascii="Times New Roman" w:eastAsia="Times New Roman" w:hAnsi="Times New Roman"/>
                <w:b/>
                <w:bCs/>
                <w:i/>
                <w:color w:val="231F20"/>
                <w:lang w:eastAsia="es-CO"/>
              </w:rPr>
            </w:pPr>
            <w:r w:rsidRPr="00F53530">
              <w:rPr>
                <w:rFonts w:ascii="Times New Roman" w:eastAsia="Times New Roman" w:hAnsi="Times New Roman"/>
                <w:b/>
                <w:bCs/>
                <w:i/>
                <w:color w:val="231F20"/>
                <w:lang w:eastAsia="es-CO"/>
              </w:rPr>
              <w:t>Mesada pensional en salarios mínimos legales mensuales vigentes (SMLMV)</w:t>
            </w:r>
          </w:p>
        </w:tc>
        <w:tc>
          <w:tcPr>
            <w:tcW w:w="3480" w:type="dxa"/>
            <w:tcBorders>
              <w:top w:val="single" w:sz="4" w:space="0" w:color="auto"/>
              <w:left w:val="nil"/>
              <w:bottom w:val="single" w:sz="4" w:space="0" w:color="auto"/>
              <w:right w:val="single" w:sz="4" w:space="0" w:color="auto"/>
            </w:tcBorders>
            <w:shd w:val="clear" w:color="auto" w:fill="BFBFBF"/>
            <w:vAlign w:val="center"/>
            <w:hideMark/>
          </w:tcPr>
          <w:p w14:paraId="045A3EAA" w14:textId="77777777" w:rsidR="00547CE5" w:rsidRPr="00F53530" w:rsidRDefault="00547CE5" w:rsidP="00C44821">
            <w:pPr>
              <w:spacing w:after="0" w:line="240" w:lineRule="auto"/>
              <w:ind w:firstLineChars="100" w:firstLine="221"/>
              <w:jc w:val="center"/>
              <w:rPr>
                <w:rFonts w:ascii="Times New Roman" w:eastAsia="Times New Roman" w:hAnsi="Times New Roman"/>
                <w:b/>
                <w:bCs/>
                <w:i/>
                <w:color w:val="231F20"/>
                <w:lang w:eastAsia="es-CO"/>
              </w:rPr>
            </w:pPr>
            <w:r w:rsidRPr="00F53530">
              <w:rPr>
                <w:rFonts w:ascii="Times New Roman" w:eastAsia="Times New Roman" w:hAnsi="Times New Roman"/>
                <w:b/>
                <w:bCs/>
                <w:i/>
                <w:color w:val="231F20"/>
                <w:lang w:eastAsia="es-CO"/>
              </w:rPr>
              <w:t>Cotización mensual en salud</w:t>
            </w:r>
          </w:p>
        </w:tc>
      </w:tr>
      <w:tr w:rsidR="00547CE5" w:rsidRPr="00F53530" w14:paraId="045A3EAE" w14:textId="77777777" w:rsidTr="004D7B8A">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045A3EAC" w14:textId="77777777" w:rsidR="00547CE5" w:rsidRPr="00F53530" w:rsidRDefault="00547CE5"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1 SMLMV</w:t>
            </w:r>
          </w:p>
        </w:tc>
        <w:tc>
          <w:tcPr>
            <w:tcW w:w="3480" w:type="dxa"/>
            <w:tcBorders>
              <w:top w:val="nil"/>
              <w:left w:val="nil"/>
              <w:bottom w:val="single" w:sz="4" w:space="0" w:color="auto"/>
              <w:right w:val="single" w:sz="4" w:space="0" w:color="auto"/>
            </w:tcBorders>
            <w:shd w:val="clear" w:color="auto" w:fill="auto"/>
            <w:vAlign w:val="center"/>
            <w:hideMark/>
          </w:tcPr>
          <w:p w14:paraId="045A3EAD" w14:textId="77777777" w:rsidR="00547CE5" w:rsidRPr="00F53530" w:rsidRDefault="00547CE5"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8%</w:t>
            </w:r>
          </w:p>
        </w:tc>
      </w:tr>
      <w:tr w:rsidR="00547CE5" w:rsidRPr="00F53530" w14:paraId="045A3EB1" w14:textId="77777777" w:rsidTr="004D7B8A">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045A3EAF" w14:textId="77777777" w:rsidR="00547CE5" w:rsidRPr="00F53530" w:rsidRDefault="00547CE5"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&gt;1 SMLMV y hasta 2 SMLMV</w:t>
            </w:r>
          </w:p>
        </w:tc>
        <w:tc>
          <w:tcPr>
            <w:tcW w:w="3480" w:type="dxa"/>
            <w:tcBorders>
              <w:top w:val="nil"/>
              <w:left w:val="nil"/>
              <w:bottom w:val="single" w:sz="4" w:space="0" w:color="auto"/>
              <w:right w:val="single" w:sz="4" w:space="0" w:color="auto"/>
            </w:tcBorders>
            <w:shd w:val="clear" w:color="auto" w:fill="auto"/>
            <w:vAlign w:val="center"/>
            <w:hideMark/>
          </w:tcPr>
          <w:p w14:paraId="045A3EB0" w14:textId="77777777" w:rsidR="00547CE5" w:rsidRPr="00F53530" w:rsidRDefault="00547CE5"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10%</w:t>
            </w:r>
          </w:p>
        </w:tc>
      </w:tr>
      <w:tr w:rsidR="00547CE5" w:rsidRPr="00F53530" w14:paraId="045A3EB4" w14:textId="77777777" w:rsidTr="004D7B8A">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045A3EB2" w14:textId="77777777" w:rsidR="00547CE5" w:rsidRPr="00F53530" w:rsidRDefault="00547CE5"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&gt;2 SMLMV y hasta 5 SMLMV</w:t>
            </w:r>
          </w:p>
        </w:tc>
        <w:tc>
          <w:tcPr>
            <w:tcW w:w="3480" w:type="dxa"/>
            <w:tcBorders>
              <w:top w:val="nil"/>
              <w:left w:val="nil"/>
              <w:bottom w:val="single" w:sz="4" w:space="0" w:color="auto"/>
              <w:right w:val="single" w:sz="4" w:space="0" w:color="auto"/>
            </w:tcBorders>
            <w:shd w:val="clear" w:color="auto" w:fill="auto"/>
            <w:vAlign w:val="center"/>
            <w:hideMark/>
          </w:tcPr>
          <w:p w14:paraId="045A3EB3" w14:textId="77777777" w:rsidR="00547CE5" w:rsidRPr="00F53530" w:rsidRDefault="00547CE5"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12%</w:t>
            </w:r>
          </w:p>
        </w:tc>
      </w:tr>
      <w:tr w:rsidR="00547CE5" w:rsidRPr="00F53530" w14:paraId="045A3EB7" w14:textId="77777777" w:rsidTr="004D7B8A">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045A3EB5" w14:textId="77777777" w:rsidR="00547CE5" w:rsidRPr="00F53530" w:rsidRDefault="00547CE5"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&gt;5 SMLMV y hasta 8 SMLMV</w:t>
            </w:r>
          </w:p>
        </w:tc>
        <w:tc>
          <w:tcPr>
            <w:tcW w:w="3480" w:type="dxa"/>
            <w:tcBorders>
              <w:top w:val="nil"/>
              <w:left w:val="nil"/>
              <w:bottom w:val="single" w:sz="4" w:space="0" w:color="auto"/>
              <w:right w:val="single" w:sz="4" w:space="0" w:color="auto"/>
            </w:tcBorders>
            <w:shd w:val="clear" w:color="auto" w:fill="auto"/>
            <w:vAlign w:val="center"/>
            <w:hideMark/>
          </w:tcPr>
          <w:p w14:paraId="045A3EB6" w14:textId="77777777" w:rsidR="00547CE5" w:rsidRPr="00F53530" w:rsidRDefault="00547CE5"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12%</w:t>
            </w:r>
          </w:p>
        </w:tc>
      </w:tr>
      <w:tr w:rsidR="00547CE5" w:rsidRPr="00F53530" w14:paraId="045A3EBA" w14:textId="77777777" w:rsidTr="004D7B8A">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045A3EB8" w14:textId="77777777" w:rsidR="00547CE5" w:rsidRPr="00F53530" w:rsidRDefault="00547CE5"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&gt;8 SMLMV</w:t>
            </w:r>
          </w:p>
        </w:tc>
        <w:tc>
          <w:tcPr>
            <w:tcW w:w="3480" w:type="dxa"/>
            <w:tcBorders>
              <w:top w:val="nil"/>
              <w:left w:val="nil"/>
              <w:bottom w:val="single" w:sz="4" w:space="0" w:color="auto"/>
              <w:right w:val="single" w:sz="4" w:space="0" w:color="auto"/>
            </w:tcBorders>
            <w:shd w:val="clear" w:color="auto" w:fill="auto"/>
            <w:vAlign w:val="center"/>
            <w:hideMark/>
          </w:tcPr>
          <w:p w14:paraId="045A3EB9" w14:textId="77777777" w:rsidR="00547CE5" w:rsidRPr="00F53530" w:rsidRDefault="00547CE5" w:rsidP="00C44821">
            <w:pPr>
              <w:spacing w:after="0" w:line="240" w:lineRule="auto"/>
              <w:jc w:val="center"/>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12%</w:t>
            </w:r>
          </w:p>
        </w:tc>
      </w:tr>
    </w:tbl>
    <w:p w14:paraId="045A3EB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partir del año 2022, se aplicará la siguiente tabla:</w:t>
      </w:r>
    </w:p>
    <w:tbl>
      <w:tblPr>
        <w:tblW w:w="7640" w:type="dxa"/>
        <w:jc w:val="center"/>
        <w:tblCellMar>
          <w:left w:w="70" w:type="dxa"/>
          <w:right w:w="70" w:type="dxa"/>
        </w:tblCellMar>
        <w:tblLook w:val="04A0" w:firstRow="1" w:lastRow="0" w:firstColumn="1" w:lastColumn="0" w:noHBand="0" w:noVBand="1"/>
      </w:tblPr>
      <w:tblGrid>
        <w:gridCol w:w="4160"/>
        <w:gridCol w:w="3480"/>
      </w:tblGrid>
      <w:tr w:rsidR="00547CE5" w:rsidRPr="00F53530" w14:paraId="045A3EBE" w14:textId="77777777" w:rsidTr="002470F0">
        <w:trPr>
          <w:trHeight w:val="493"/>
          <w:tblHeader/>
          <w:jc w:val="center"/>
        </w:trPr>
        <w:tc>
          <w:tcPr>
            <w:tcW w:w="416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45A3EBC" w14:textId="77777777" w:rsidR="00547CE5" w:rsidRPr="00F53530" w:rsidRDefault="00547CE5" w:rsidP="00C44821">
            <w:pPr>
              <w:spacing w:after="0" w:line="240" w:lineRule="auto"/>
              <w:jc w:val="both"/>
              <w:rPr>
                <w:rFonts w:ascii="Times New Roman" w:eastAsia="Times New Roman" w:hAnsi="Times New Roman"/>
                <w:b/>
                <w:bCs/>
                <w:i/>
                <w:color w:val="231F20"/>
                <w:lang w:eastAsia="es-CO"/>
              </w:rPr>
            </w:pPr>
            <w:r w:rsidRPr="00F53530">
              <w:rPr>
                <w:rFonts w:ascii="Times New Roman" w:eastAsia="Times New Roman" w:hAnsi="Times New Roman"/>
                <w:b/>
                <w:bCs/>
                <w:i/>
                <w:color w:val="231F20"/>
                <w:lang w:eastAsia="es-CO"/>
              </w:rPr>
              <w:t>Mesada pensional en salarios mínimos legales mensuales vigentes (SMLMV)</w:t>
            </w:r>
          </w:p>
        </w:tc>
        <w:tc>
          <w:tcPr>
            <w:tcW w:w="3480"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045A3EBD" w14:textId="77777777" w:rsidR="00547CE5" w:rsidRPr="00F53530" w:rsidRDefault="00547CE5" w:rsidP="00C44821">
            <w:pPr>
              <w:spacing w:after="0" w:line="240" w:lineRule="auto"/>
              <w:jc w:val="both"/>
              <w:rPr>
                <w:rFonts w:ascii="Times New Roman" w:eastAsia="Times New Roman" w:hAnsi="Times New Roman"/>
                <w:b/>
                <w:bCs/>
                <w:i/>
                <w:color w:val="231F20"/>
                <w:lang w:eastAsia="es-CO"/>
              </w:rPr>
            </w:pPr>
            <w:r w:rsidRPr="00F53530">
              <w:rPr>
                <w:rFonts w:ascii="Times New Roman" w:eastAsia="Times New Roman" w:hAnsi="Times New Roman"/>
                <w:b/>
                <w:bCs/>
                <w:i/>
                <w:color w:val="231F20"/>
                <w:lang w:eastAsia="es-CO"/>
              </w:rPr>
              <w:t>Cotización mensual en salud</w:t>
            </w:r>
          </w:p>
        </w:tc>
      </w:tr>
      <w:tr w:rsidR="00547CE5" w:rsidRPr="00F53530" w14:paraId="045A3EC1" w14:textId="77777777" w:rsidTr="002470F0">
        <w:trPr>
          <w:trHeight w:val="733"/>
          <w:jc w:val="center"/>
        </w:trPr>
        <w:tc>
          <w:tcPr>
            <w:tcW w:w="4160"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045A3EBF" w14:textId="77777777" w:rsidR="00547CE5" w:rsidRPr="00F53530" w:rsidRDefault="00547CE5" w:rsidP="00C44821">
            <w:pPr>
              <w:spacing w:after="0" w:line="240" w:lineRule="auto"/>
              <w:jc w:val="both"/>
              <w:rPr>
                <w:rFonts w:ascii="Times New Roman" w:eastAsia="Times New Roman" w:hAnsi="Times New Roman"/>
                <w:b/>
                <w:bCs/>
                <w:i/>
                <w:color w:val="231F20"/>
                <w:lang w:eastAsia="es-CO"/>
              </w:rPr>
            </w:pPr>
          </w:p>
        </w:tc>
        <w:tc>
          <w:tcPr>
            <w:tcW w:w="3480"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045A3EC0" w14:textId="77777777" w:rsidR="00547CE5" w:rsidRPr="00F53530" w:rsidRDefault="00547CE5" w:rsidP="00C44821">
            <w:pPr>
              <w:spacing w:after="0" w:line="240" w:lineRule="auto"/>
              <w:jc w:val="both"/>
              <w:rPr>
                <w:rFonts w:ascii="Times New Roman" w:eastAsia="Times New Roman" w:hAnsi="Times New Roman"/>
                <w:b/>
                <w:bCs/>
                <w:i/>
                <w:color w:val="231F20"/>
                <w:lang w:eastAsia="es-CO"/>
              </w:rPr>
            </w:pPr>
          </w:p>
        </w:tc>
      </w:tr>
      <w:tr w:rsidR="00547CE5" w:rsidRPr="00F53530" w14:paraId="045A3EC4" w14:textId="77777777" w:rsidTr="004D7B8A">
        <w:trPr>
          <w:trHeight w:val="7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045A3EC2" w14:textId="77777777" w:rsidR="00547CE5" w:rsidRPr="00F53530" w:rsidRDefault="00547CE5"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1 SMLMV</w:t>
            </w:r>
          </w:p>
        </w:tc>
        <w:tc>
          <w:tcPr>
            <w:tcW w:w="3480" w:type="dxa"/>
            <w:tcBorders>
              <w:top w:val="nil"/>
              <w:left w:val="nil"/>
              <w:bottom w:val="single" w:sz="4" w:space="0" w:color="auto"/>
              <w:right w:val="single" w:sz="4" w:space="0" w:color="auto"/>
            </w:tcBorders>
            <w:shd w:val="clear" w:color="auto" w:fill="auto"/>
            <w:vAlign w:val="center"/>
            <w:hideMark/>
          </w:tcPr>
          <w:p w14:paraId="045A3EC3" w14:textId="77777777" w:rsidR="00547CE5" w:rsidRPr="00F53530" w:rsidRDefault="00547CE5"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4%</w:t>
            </w:r>
          </w:p>
        </w:tc>
      </w:tr>
      <w:tr w:rsidR="00547CE5" w:rsidRPr="00F53530" w14:paraId="045A3EC7" w14:textId="77777777" w:rsidTr="004D7B8A">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045A3EC5" w14:textId="77777777" w:rsidR="00547CE5" w:rsidRPr="00F53530" w:rsidRDefault="00547CE5"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&gt;1 SMLMV y hasta 2 SMLMV</w:t>
            </w:r>
          </w:p>
        </w:tc>
        <w:tc>
          <w:tcPr>
            <w:tcW w:w="3480" w:type="dxa"/>
            <w:tcBorders>
              <w:top w:val="nil"/>
              <w:left w:val="nil"/>
              <w:bottom w:val="single" w:sz="4" w:space="0" w:color="auto"/>
              <w:right w:val="single" w:sz="4" w:space="0" w:color="auto"/>
            </w:tcBorders>
            <w:shd w:val="clear" w:color="auto" w:fill="auto"/>
            <w:vAlign w:val="center"/>
            <w:hideMark/>
          </w:tcPr>
          <w:p w14:paraId="045A3EC6" w14:textId="77777777" w:rsidR="00547CE5" w:rsidRPr="00F53530" w:rsidRDefault="00547CE5"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10%</w:t>
            </w:r>
          </w:p>
        </w:tc>
      </w:tr>
      <w:tr w:rsidR="00547CE5" w:rsidRPr="00F53530" w14:paraId="045A3ECA" w14:textId="77777777" w:rsidTr="004D7B8A">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045A3EC8" w14:textId="77777777" w:rsidR="00547CE5" w:rsidRPr="00F53530" w:rsidRDefault="00547CE5"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&gt;2 SMLMV y hasta 5 SMLMV</w:t>
            </w:r>
          </w:p>
        </w:tc>
        <w:tc>
          <w:tcPr>
            <w:tcW w:w="3480" w:type="dxa"/>
            <w:tcBorders>
              <w:top w:val="nil"/>
              <w:left w:val="nil"/>
              <w:bottom w:val="single" w:sz="4" w:space="0" w:color="auto"/>
              <w:right w:val="single" w:sz="4" w:space="0" w:color="auto"/>
            </w:tcBorders>
            <w:shd w:val="clear" w:color="auto" w:fill="auto"/>
            <w:vAlign w:val="center"/>
            <w:hideMark/>
          </w:tcPr>
          <w:p w14:paraId="045A3EC9" w14:textId="77777777" w:rsidR="00547CE5" w:rsidRPr="00F53530" w:rsidRDefault="00547CE5"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12%</w:t>
            </w:r>
          </w:p>
        </w:tc>
      </w:tr>
      <w:tr w:rsidR="00547CE5" w:rsidRPr="00F53530" w14:paraId="045A3ECD" w14:textId="77777777" w:rsidTr="004D7B8A">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045A3ECB" w14:textId="77777777" w:rsidR="00547CE5" w:rsidRPr="00F53530" w:rsidRDefault="00547CE5"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&gt;5 SMLMV y hasta 8 SMLMV</w:t>
            </w:r>
          </w:p>
        </w:tc>
        <w:tc>
          <w:tcPr>
            <w:tcW w:w="3480" w:type="dxa"/>
            <w:tcBorders>
              <w:top w:val="nil"/>
              <w:left w:val="nil"/>
              <w:bottom w:val="single" w:sz="4" w:space="0" w:color="auto"/>
              <w:right w:val="single" w:sz="4" w:space="0" w:color="auto"/>
            </w:tcBorders>
            <w:shd w:val="clear" w:color="auto" w:fill="auto"/>
            <w:vAlign w:val="center"/>
            <w:hideMark/>
          </w:tcPr>
          <w:p w14:paraId="045A3ECC" w14:textId="77777777" w:rsidR="00547CE5" w:rsidRPr="00F53530" w:rsidRDefault="00547CE5"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12%</w:t>
            </w:r>
          </w:p>
        </w:tc>
      </w:tr>
      <w:tr w:rsidR="00547CE5" w:rsidRPr="00F53530" w14:paraId="045A3ED0" w14:textId="77777777" w:rsidTr="004D7B8A">
        <w:trPr>
          <w:trHeight w:val="300"/>
          <w:jc w:val="center"/>
        </w:trPr>
        <w:tc>
          <w:tcPr>
            <w:tcW w:w="4160" w:type="dxa"/>
            <w:tcBorders>
              <w:top w:val="nil"/>
              <w:left w:val="single" w:sz="4" w:space="0" w:color="auto"/>
              <w:bottom w:val="single" w:sz="4" w:space="0" w:color="auto"/>
              <w:right w:val="single" w:sz="4" w:space="0" w:color="auto"/>
            </w:tcBorders>
            <w:shd w:val="clear" w:color="auto" w:fill="auto"/>
            <w:vAlign w:val="center"/>
            <w:hideMark/>
          </w:tcPr>
          <w:p w14:paraId="045A3ECE" w14:textId="77777777" w:rsidR="00547CE5" w:rsidRPr="00F53530" w:rsidRDefault="00547CE5"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&gt;8 SMLMV</w:t>
            </w:r>
          </w:p>
        </w:tc>
        <w:tc>
          <w:tcPr>
            <w:tcW w:w="3480" w:type="dxa"/>
            <w:tcBorders>
              <w:top w:val="nil"/>
              <w:left w:val="nil"/>
              <w:bottom w:val="single" w:sz="4" w:space="0" w:color="auto"/>
              <w:right w:val="single" w:sz="4" w:space="0" w:color="auto"/>
            </w:tcBorders>
            <w:shd w:val="clear" w:color="auto" w:fill="auto"/>
            <w:vAlign w:val="center"/>
            <w:hideMark/>
          </w:tcPr>
          <w:p w14:paraId="045A3ECF" w14:textId="77777777" w:rsidR="00547CE5" w:rsidRPr="00F53530" w:rsidRDefault="00547CE5" w:rsidP="00C44821">
            <w:pPr>
              <w:spacing w:after="0" w:line="240" w:lineRule="auto"/>
              <w:jc w:val="both"/>
              <w:rPr>
                <w:rFonts w:ascii="Times New Roman" w:eastAsia="Times New Roman" w:hAnsi="Times New Roman"/>
                <w:i/>
                <w:color w:val="231F20"/>
                <w:lang w:eastAsia="es-CO"/>
              </w:rPr>
            </w:pPr>
            <w:r w:rsidRPr="00F53530">
              <w:rPr>
                <w:rFonts w:ascii="Times New Roman" w:eastAsia="Times New Roman" w:hAnsi="Times New Roman"/>
                <w:i/>
                <w:color w:val="231F20"/>
                <w:lang w:eastAsia="es-CO"/>
              </w:rPr>
              <w:t>12%</w:t>
            </w:r>
          </w:p>
        </w:tc>
      </w:tr>
    </w:tbl>
    <w:p w14:paraId="045A3ED1" w14:textId="77777777" w:rsidR="00E01128" w:rsidRDefault="00E01128" w:rsidP="00C44821">
      <w:pPr>
        <w:spacing w:before="240" w:after="240" w:line="240" w:lineRule="auto"/>
        <w:jc w:val="both"/>
        <w:rPr>
          <w:rFonts w:ascii="Times New Roman" w:hAnsi="Times New Roman"/>
          <w:b/>
          <w:b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100 de 1993</w:t>
      </w:r>
      <w:r w:rsidRPr="00C92E66">
        <w:rPr>
          <w:rFonts w:ascii="Times New Roman" w:hAnsi="Times New Roman"/>
          <w:highlight w:val="green"/>
        </w:rPr>
        <w:t>, le sugerimos remitirse a la publicación de nuestro Grupo Editorial Nueva Legislación “</w:t>
      </w:r>
      <w:r>
        <w:rPr>
          <w:rFonts w:ascii="Times New Roman" w:hAnsi="Times New Roman"/>
          <w:highlight w:val="green"/>
        </w:rPr>
        <w:t>Sistema de Seguridad Social Integral</w:t>
      </w:r>
      <w:r w:rsidRPr="00C92E66">
        <w:rPr>
          <w:rFonts w:ascii="Times New Roman" w:hAnsi="Times New Roman"/>
          <w:highlight w:val="green"/>
        </w:rPr>
        <w:t>”.</w:t>
      </w:r>
    </w:p>
    <w:p w14:paraId="045A3ED2" w14:textId="7E0156A0" w:rsidR="00040448" w:rsidRPr="00F53530" w:rsidRDefault="00040448" w:rsidP="00C44821">
      <w:pPr>
        <w:spacing w:before="240" w:after="240" w:line="240" w:lineRule="auto"/>
        <w:jc w:val="both"/>
        <w:rPr>
          <w:rFonts w:ascii="Times New Roman" w:hAnsi="Times New Roman"/>
        </w:rPr>
      </w:pPr>
      <w:r w:rsidRPr="00C6738E">
        <w:rPr>
          <w:rFonts w:ascii="Times New Roman" w:hAnsi="Times New Roman"/>
          <w:b/>
          <w:bCs/>
        </w:rPr>
        <w:t>ARTÍCULO 143.</w:t>
      </w:r>
      <w:r w:rsidR="00C6738E">
        <w:rPr>
          <w:rFonts w:ascii="Times New Roman" w:hAnsi="Times New Roman"/>
          <w:b/>
          <w:bCs/>
        </w:rPr>
        <w:t xml:space="preserve"> </w:t>
      </w:r>
      <w:r w:rsidRPr="00F53530">
        <w:rPr>
          <w:rFonts w:ascii="Times New Roman" w:hAnsi="Times New Roman"/>
        </w:rPr>
        <w:t xml:space="preserve">Modifíquese el artículo 212 de la </w:t>
      </w:r>
      <w:hyperlink r:id="rId169" w:history="1">
        <w:r w:rsidRPr="009D2823">
          <w:rPr>
            <w:rStyle w:val="Hipervnculo"/>
            <w:rFonts w:ascii="Times New Roman" w:hAnsi="Times New Roman"/>
          </w:rPr>
          <w:t>Ley 223 de 1995</w:t>
        </w:r>
      </w:hyperlink>
      <w:r w:rsidRPr="00F53530">
        <w:rPr>
          <w:rFonts w:ascii="Times New Roman" w:hAnsi="Times New Roman"/>
        </w:rPr>
        <w:t>, el cual quedará así:</w:t>
      </w:r>
    </w:p>
    <w:p w14:paraId="045A3ED3" w14:textId="77777777" w:rsidR="00040448" w:rsidRPr="00F53530" w:rsidRDefault="00040448" w:rsidP="00C44821">
      <w:pPr>
        <w:spacing w:before="240" w:after="240" w:line="240" w:lineRule="auto"/>
        <w:jc w:val="both"/>
        <w:rPr>
          <w:rFonts w:ascii="Times New Roman" w:hAnsi="Times New Roman"/>
          <w:i/>
        </w:rPr>
      </w:pPr>
      <w:r w:rsidRPr="009A77AA">
        <w:rPr>
          <w:rFonts w:ascii="Times New Roman" w:hAnsi="Times New Roman"/>
          <w:b/>
          <w:bCs/>
          <w:i/>
        </w:rPr>
        <w:t>Artículo 212 Participación del Distrito Capital.</w:t>
      </w:r>
      <w:r w:rsidRPr="00F53530">
        <w:rPr>
          <w:rFonts w:ascii="Times New Roman" w:hAnsi="Times New Roman"/>
          <w:i/>
        </w:rPr>
        <w:t xml:space="preserve"> De conformidad con el artículo 324 de la Constitución Política, el Distrito Capital tendrá una participación del veinte por ciento (20%) del recaudo del impuesto correspondiente al consumo de cigarrillos y tabaco elaborado de producción nacional que se genere en su jurisdicción.</w:t>
      </w:r>
    </w:p>
    <w:p w14:paraId="045A3ED4" w14:textId="501BF36F"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El Distrito Capital es titular del impuesto que se genere, por concepto del consumo de cigarrillos y tabaco elaborado, de procedencia extranjera, en el ámbito de su jurisdicción, de conformidad con el artículo 1 de la </w:t>
      </w:r>
      <w:hyperlink r:id="rId170" w:history="1">
        <w:r w:rsidRPr="00F50CA6">
          <w:rPr>
            <w:rStyle w:val="Hipervnculo"/>
            <w:rFonts w:ascii="Times New Roman" w:hAnsi="Times New Roman"/>
            <w:i/>
          </w:rPr>
          <w:t>Ley 19 de 1970</w:t>
        </w:r>
      </w:hyperlink>
      <w:r w:rsidRPr="00F53530">
        <w:rPr>
          <w:rFonts w:ascii="Times New Roman" w:hAnsi="Times New Roman"/>
          <w:i/>
        </w:rPr>
        <w:t>. El impuesto que se genere, se distribuirá de la siguiente manera: el setenta por ciento (70%) para el Distrito Capital y el treinta por ciento (30%) restante para el departamento de Cundinamarca, a quien corresponde la titularidad de ese porcentaje.</w:t>
      </w:r>
    </w:p>
    <w:p w14:paraId="045A3ED5" w14:textId="77777777" w:rsidR="00040448" w:rsidRPr="00F53530" w:rsidRDefault="00040448" w:rsidP="00C44821">
      <w:pPr>
        <w:spacing w:before="240" w:after="240" w:line="240" w:lineRule="auto"/>
        <w:jc w:val="both"/>
        <w:rPr>
          <w:rFonts w:ascii="Times New Roman" w:hAnsi="Times New Roman"/>
        </w:rPr>
      </w:pPr>
      <w:r w:rsidRPr="00C6738E">
        <w:rPr>
          <w:rFonts w:ascii="Times New Roman" w:hAnsi="Times New Roman"/>
          <w:b/>
          <w:bCs/>
        </w:rPr>
        <w:t>ARTÍCULO 144. EMPRESAS DE LICORES DE LOS DEPARTAMENTOS.</w:t>
      </w:r>
      <w:r w:rsidR="00C6738E">
        <w:rPr>
          <w:rFonts w:ascii="Times New Roman" w:hAnsi="Times New Roman"/>
          <w:b/>
          <w:bCs/>
        </w:rPr>
        <w:t xml:space="preserve"> </w:t>
      </w:r>
      <w:r w:rsidRPr="00F53530">
        <w:rPr>
          <w:rFonts w:ascii="Times New Roman" w:hAnsi="Times New Roman"/>
        </w:rPr>
        <w:t>Las empresas de licores de los departamentos, que tienen en el ejercicio del monopolio rentístico, conservarán la naturaleza jurídica que tengan a la fecha de entrada en vigencia de la presente ley. Las que se creen en adelante deberán ser empresas industriales y comerciales del Estado, del orden Departamental.</w:t>
      </w:r>
    </w:p>
    <w:p w14:paraId="045A3ED6" w14:textId="77777777" w:rsidR="00040448" w:rsidRPr="00F53530" w:rsidRDefault="00040448" w:rsidP="00C44821">
      <w:pPr>
        <w:spacing w:before="240" w:after="240" w:line="240" w:lineRule="auto"/>
        <w:jc w:val="both"/>
        <w:rPr>
          <w:rFonts w:ascii="Times New Roman" w:hAnsi="Times New Roman"/>
        </w:rPr>
      </w:pPr>
      <w:r w:rsidRPr="00C6738E">
        <w:rPr>
          <w:rFonts w:ascii="Times New Roman" w:hAnsi="Times New Roman"/>
          <w:b/>
          <w:bCs/>
        </w:rPr>
        <w:lastRenderedPageBreak/>
        <w:t>ARTÍCULO 145. TRASLADO DE PÉRDIDAS FISCALES POR PARTE DE LAS EMPRESAS DE SERVICIOS PÚBLICOS.</w:t>
      </w:r>
      <w:r w:rsidR="00C6738E">
        <w:rPr>
          <w:rFonts w:ascii="Times New Roman" w:hAnsi="Times New Roman"/>
          <w:b/>
          <w:bCs/>
        </w:rPr>
        <w:t xml:space="preserve"> </w:t>
      </w:r>
      <w:r w:rsidRPr="00F53530">
        <w:rPr>
          <w:rFonts w:ascii="Times New Roman" w:hAnsi="Times New Roman"/>
        </w:rPr>
        <w:t>Las empresas de servicios públicos que sean objeto de procesos de intervención por parte de la Superintendencia de Servicios Públicos y como parte de dicho proceso creen nuevas sociedades cuya finalidad sea la preservación de la continuidad en la prestación del servicio público, podrán aportar a estas nuevas sociedades el derecho a compensar el saldo de las pérdidas fiscales que la empresa intervenida no hubiera compensado en periodos fiscales anteriores. En consecuencia, para fines contables y comerciales el aporte consistirá en la transferencia del activo por impuesto diferido correspondiente.</w:t>
      </w:r>
    </w:p>
    <w:p w14:paraId="045A3ED7"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Las nuevas empresas receptoras del aporte antes mencionado podrán compensar, contra sus rentas líquidas obtenidas en el periodo fiscal del aporte o en los periodos fiscales siguientes, las pérdidas fiscales que les hubieran sido transferidas por la sociedad intervenida, sin la limitación de tiempo establecida en el Artículo 147 del -</w:t>
      </w:r>
      <w:r w:rsidR="006E0953">
        <w:rPr>
          <w:rFonts w:ascii="Times New Roman" w:hAnsi="Times New Roman"/>
        </w:rPr>
        <w:t>*</w:t>
      </w:r>
      <w:r w:rsidRPr="00F53530">
        <w:rPr>
          <w:rFonts w:ascii="Times New Roman" w:hAnsi="Times New Roman"/>
        </w:rPr>
        <w:t>Estatuto Tributario.</w:t>
      </w:r>
    </w:p>
    <w:p w14:paraId="045A3ED8"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Igualmente, las empresas intervenidas de que trata el presente artículo podrán aportar a las nuevas sociedades que se creen con el fin de preservar la continuidad en la prestación del servicio público, los contratos de prestación de los servicios públicos junto con sus créditos asociados (incluyendo, pero sin limitarse a, las cuentas por cobrar pendientes de pago por parte de los clientes de la sociedad intervenida), así como cualquier otra cartera pendiente de cobro por parte de la sociedad intervenida. En estos casos, las nuevas sociedades podrán aplicar los Artículos 145 y 146 del </w:t>
      </w:r>
      <w:r w:rsidR="006E0953">
        <w:rPr>
          <w:rFonts w:ascii="Times New Roman" w:hAnsi="Times New Roman"/>
        </w:rPr>
        <w:t>*</w:t>
      </w:r>
      <w:r w:rsidRPr="00F53530">
        <w:rPr>
          <w:rFonts w:ascii="Times New Roman" w:hAnsi="Times New Roman"/>
        </w:rPr>
        <w:t>Estatuto Tributario respecto de los saldos fiscales de los créditos aportados en virtud del presente artículo. En consecuencia, la cartera de dudoso o difícil recaudo será deducible de conformidad con las normas legales que le sean aplicables para tales efectos.</w:t>
      </w:r>
    </w:p>
    <w:p w14:paraId="045A3ED9" w14:textId="77777777" w:rsidR="00040448" w:rsidRPr="00F53530" w:rsidRDefault="00280B8A" w:rsidP="00C44821">
      <w:pPr>
        <w:spacing w:before="240" w:after="240" w:line="240" w:lineRule="auto"/>
        <w:jc w:val="both"/>
        <w:rPr>
          <w:rFonts w:ascii="Times New Roman" w:hAnsi="Times New Roman"/>
        </w:rPr>
      </w:pPr>
      <w:r w:rsidRPr="00C6738E">
        <w:rPr>
          <w:rFonts w:ascii="Times New Roman" w:hAnsi="Times New Roman"/>
          <w:b/>
          <w:bCs/>
        </w:rPr>
        <w:t>PARÁGRAFO 1.</w:t>
      </w:r>
      <w:r w:rsidRPr="00F53530">
        <w:rPr>
          <w:rFonts w:ascii="Times New Roman" w:hAnsi="Times New Roman"/>
        </w:rPr>
        <w:t xml:space="preserve"> </w:t>
      </w:r>
      <w:r w:rsidR="00040448" w:rsidRPr="00F53530">
        <w:rPr>
          <w:rFonts w:ascii="Times New Roman" w:hAnsi="Times New Roman"/>
        </w:rPr>
        <w:t>La compensación de las pérdidas fiscales en cabeza de las nuevas sociedades solo será procedente en las proporciones que les fuera aportado el derecho en el acto de aporte.</w:t>
      </w:r>
    </w:p>
    <w:p w14:paraId="045A3EDA" w14:textId="77777777" w:rsidR="00040448" w:rsidRPr="00F53530" w:rsidRDefault="00280B8A" w:rsidP="00C44821">
      <w:pPr>
        <w:spacing w:before="240" w:after="240" w:line="240" w:lineRule="auto"/>
        <w:jc w:val="both"/>
        <w:rPr>
          <w:rFonts w:ascii="Times New Roman" w:hAnsi="Times New Roman"/>
        </w:rPr>
      </w:pPr>
      <w:r w:rsidRPr="00C6738E">
        <w:rPr>
          <w:rFonts w:ascii="Times New Roman" w:hAnsi="Times New Roman"/>
          <w:b/>
          <w:bCs/>
        </w:rPr>
        <w:t>PARÁGRAFO 2</w:t>
      </w:r>
      <w:r w:rsidRPr="00F53530">
        <w:rPr>
          <w:rFonts w:ascii="Times New Roman" w:hAnsi="Times New Roman"/>
        </w:rPr>
        <w:t xml:space="preserve">. </w:t>
      </w:r>
      <w:r w:rsidR="00040448" w:rsidRPr="00F53530">
        <w:rPr>
          <w:rFonts w:ascii="Times New Roman" w:hAnsi="Times New Roman"/>
        </w:rPr>
        <w:t>Solo podrán aplicar este tratamiento aquellas nuevas sociedades cuya principal actividad productora de renta sea la prestación de uno o varios servicios públicos prestados por la sociedad aportante.</w:t>
      </w:r>
    </w:p>
    <w:p w14:paraId="045A3EDB" w14:textId="77777777" w:rsidR="00040448" w:rsidRDefault="00280B8A" w:rsidP="00C44821">
      <w:pPr>
        <w:spacing w:before="240" w:after="240" w:line="240" w:lineRule="auto"/>
        <w:jc w:val="both"/>
        <w:rPr>
          <w:rFonts w:ascii="Times New Roman" w:hAnsi="Times New Roman"/>
        </w:rPr>
      </w:pPr>
      <w:r w:rsidRPr="00C6738E">
        <w:rPr>
          <w:rFonts w:ascii="Times New Roman" w:hAnsi="Times New Roman"/>
          <w:b/>
          <w:bCs/>
        </w:rPr>
        <w:t>PARÁGRAFO 3.</w:t>
      </w:r>
      <w:r w:rsidRPr="00F53530">
        <w:rPr>
          <w:rFonts w:ascii="Times New Roman" w:hAnsi="Times New Roman"/>
        </w:rPr>
        <w:t xml:space="preserve"> </w:t>
      </w:r>
      <w:r w:rsidR="00040448" w:rsidRPr="00F53530">
        <w:rPr>
          <w:rFonts w:ascii="Times New Roman" w:hAnsi="Times New Roman"/>
        </w:rPr>
        <w:t>Una vez realizado el aporte de las pérdidas fiscales establecido en el presente artículo, la sociedad intervenida no podrá compensar las pérdidas fiscales aportadas contra sus propias rentas líquidas del periodo fiscal o de periodos fiscales futuros.</w:t>
      </w:r>
    </w:p>
    <w:p w14:paraId="045A3EDC" w14:textId="77777777" w:rsidR="006E0953" w:rsidRPr="00F53530" w:rsidRDefault="006E0953"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EDD" w14:textId="77777777" w:rsidR="00040448" w:rsidRPr="00F53530" w:rsidRDefault="00040448" w:rsidP="00C44821">
      <w:pPr>
        <w:spacing w:before="240" w:after="240" w:line="240" w:lineRule="auto"/>
        <w:jc w:val="both"/>
        <w:rPr>
          <w:rFonts w:ascii="Times New Roman" w:hAnsi="Times New Roman"/>
        </w:rPr>
      </w:pPr>
      <w:r w:rsidRPr="00C6738E">
        <w:rPr>
          <w:rFonts w:ascii="Times New Roman" w:hAnsi="Times New Roman"/>
          <w:b/>
          <w:bCs/>
        </w:rPr>
        <w:t>ARTÍCULO 146. CAPITALIZACIONES DE LA NACIÓN PARA ASEGURAR LA PRESTACIÓN DEL SERVICIO PÚBLICO DE ENERGÍA.</w:t>
      </w:r>
      <w:r w:rsidR="00C6738E">
        <w:rPr>
          <w:rFonts w:ascii="Times New Roman" w:hAnsi="Times New Roman"/>
          <w:b/>
          <w:bCs/>
        </w:rPr>
        <w:t xml:space="preserve"> </w:t>
      </w:r>
      <w:r w:rsidRPr="00F53530">
        <w:rPr>
          <w:rFonts w:ascii="Times New Roman" w:hAnsi="Times New Roman"/>
        </w:rPr>
        <w:t>Con el fin exclusivo de garantizar la continuidad de la prestación de energía en la Costa Caribe, créase el Fondo de Sostenibilidad Financiera del Sector Eléctrico (FONSE) como un patrimonio autónomo, adscrito al Ministerio de Hacienda y Crédito Público, que será administrado por este o la entidad que este designe, cuyo objeto será la inversión de recursos en instrumentos de capital emitidos por empresas de servicios públicos de energía oficiales o mixtas, incluyendo acciones con condiciones especiales de participación, dividendos y/o recompra, entre otras. Las inversiones que realice el FONSE en los instrumentos de capital a los que se refiere este artículo podrán tener retornos iguales a cero o negativos de acuerdo con el comportamiento de las empresas en las que se realicen. El Gobierno nacional reglamentará la administración y funcionamiento del FONSE, así como los demás aspectos necesarios para el cabal cumplimiento de su objeto.</w:t>
      </w:r>
    </w:p>
    <w:p w14:paraId="045A3EDE" w14:textId="25FB9B20" w:rsidR="00040448" w:rsidRDefault="00280B8A" w:rsidP="00C44821">
      <w:pPr>
        <w:spacing w:before="240" w:after="240" w:line="240" w:lineRule="auto"/>
        <w:jc w:val="both"/>
        <w:rPr>
          <w:rFonts w:ascii="Times New Roman" w:hAnsi="Times New Roman"/>
        </w:rPr>
      </w:pPr>
      <w:r w:rsidRPr="00C6738E">
        <w:rPr>
          <w:rFonts w:ascii="Times New Roman" w:hAnsi="Times New Roman"/>
          <w:b/>
          <w:bCs/>
        </w:rPr>
        <w:lastRenderedPageBreak/>
        <w:t>PARÁGRAFO.</w:t>
      </w:r>
      <w:r w:rsidRPr="00F53530">
        <w:rPr>
          <w:rFonts w:ascii="Times New Roman" w:hAnsi="Times New Roman"/>
        </w:rPr>
        <w:t xml:space="preserve"> </w:t>
      </w:r>
      <w:r w:rsidR="00040448" w:rsidRPr="00F53530">
        <w:rPr>
          <w:rFonts w:ascii="Times New Roman" w:hAnsi="Times New Roman"/>
        </w:rPr>
        <w:t xml:space="preserve">Las leyes anuales de presupuesto para los años 2021 a 2024 deberán incluir los recursos necesarios para el cumplimiento del objeto del FONSE hasta por un monto de $2 billones de pesos. Dichos recursos no requerirán de los trámites de asignación de vigencias futuras previstos en la </w:t>
      </w:r>
      <w:hyperlink r:id="rId171" w:history="1">
        <w:r w:rsidR="00040448" w:rsidRPr="00F50CA6">
          <w:rPr>
            <w:rStyle w:val="Hipervnculo"/>
            <w:rFonts w:ascii="Times New Roman" w:hAnsi="Times New Roman"/>
          </w:rPr>
          <w:t>Ley 819 de 2003</w:t>
        </w:r>
      </w:hyperlink>
      <w:r w:rsidR="00040448" w:rsidRPr="00F53530">
        <w:rPr>
          <w:rFonts w:ascii="Times New Roman" w:hAnsi="Times New Roman"/>
        </w:rPr>
        <w:t xml:space="preserve"> o sus modificaciones.</w:t>
      </w:r>
    </w:p>
    <w:p w14:paraId="045A3EDF" w14:textId="77777777" w:rsidR="000B3BCB" w:rsidRPr="000B3BCB" w:rsidRDefault="000B3BCB" w:rsidP="00C44821">
      <w:pPr>
        <w:spacing w:after="0" w:line="240" w:lineRule="auto"/>
        <w:jc w:val="both"/>
        <w:rPr>
          <w:rFonts w:ascii="Times New Roman" w:hAnsi="Times New Roman"/>
          <w:b/>
        </w:rPr>
      </w:pPr>
      <w:r w:rsidRPr="000B3BCB">
        <w:rPr>
          <w:rFonts w:ascii="Times New Roman" w:hAnsi="Times New Roman"/>
          <w:b/>
          <w:highlight w:val="yellow"/>
        </w:rPr>
        <w:t>CONCORDANCIAS:</w:t>
      </w:r>
    </w:p>
    <w:p w14:paraId="045A3EE0" w14:textId="3DE40AD9" w:rsidR="00D25CCF" w:rsidRPr="00D25CCF" w:rsidRDefault="00D25CCF" w:rsidP="00C44821">
      <w:pPr>
        <w:numPr>
          <w:ilvl w:val="0"/>
          <w:numId w:val="1"/>
        </w:numPr>
        <w:spacing w:after="0" w:line="240" w:lineRule="auto"/>
        <w:jc w:val="both"/>
        <w:rPr>
          <w:rFonts w:ascii="Times New Roman" w:hAnsi="Times New Roman"/>
          <w:highlight w:val="yellow"/>
        </w:rPr>
      </w:pPr>
      <w:hyperlink r:id="rId172" w:history="1">
        <w:r w:rsidRPr="00D25CCF">
          <w:rPr>
            <w:rStyle w:val="Hipervnculo"/>
            <w:rFonts w:ascii="Times New Roman" w:hAnsi="Times New Roman"/>
            <w:b/>
            <w:highlight w:val="yellow"/>
          </w:rPr>
          <w:t>Decreto-Ley 809 de 4 de junio de 2020</w:t>
        </w:r>
      </w:hyperlink>
      <w:r w:rsidRPr="00D25CCF">
        <w:rPr>
          <w:rFonts w:ascii="Times New Roman" w:hAnsi="Times New Roman"/>
          <w:b/>
          <w:highlight w:val="yellow"/>
        </w:rPr>
        <w:t>:</w:t>
      </w:r>
      <w:r w:rsidRPr="00D25CCF">
        <w:rPr>
          <w:rFonts w:ascii="Times New Roman" w:hAnsi="Times New Roman"/>
          <w:highlight w:val="yellow"/>
        </w:rPr>
        <w:t xml:space="preserve"> Por el cual se autoriza al Fondo de Sostenibilidad Financiera del Sector Eléctrico (Fonse) a realizar operaciones de crédito público para garantizar los procesos de toma de posesión a cargo del Fondo Empresarial de la Superintendencia de Servicios Públicos Domiciliarios, afectados por la emergencia sanitaria.</w:t>
      </w:r>
    </w:p>
    <w:p w14:paraId="045A3EE1" w14:textId="71F856B9" w:rsidR="00040448" w:rsidRPr="00F53530" w:rsidRDefault="00040448" w:rsidP="00C44821">
      <w:pPr>
        <w:spacing w:before="240" w:after="240" w:line="240" w:lineRule="auto"/>
        <w:jc w:val="both"/>
        <w:rPr>
          <w:rFonts w:ascii="Times New Roman" w:hAnsi="Times New Roman"/>
        </w:rPr>
      </w:pPr>
      <w:r w:rsidRPr="00C6738E">
        <w:rPr>
          <w:rFonts w:ascii="Times New Roman" w:hAnsi="Times New Roman"/>
          <w:b/>
          <w:bCs/>
        </w:rPr>
        <w:t>ARTÍCULO 147.</w:t>
      </w:r>
      <w:r w:rsidR="00C6738E">
        <w:rPr>
          <w:rFonts w:ascii="Times New Roman" w:hAnsi="Times New Roman"/>
          <w:b/>
          <w:bCs/>
        </w:rPr>
        <w:t xml:space="preserve"> </w:t>
      </w:r>
      <w:r w:rsidRPr="00F53530">
        <w:rPr>
          <w:rFonts w:ascii="Times New Roman" w:hAnsi="Times New Roman"/>
        </w:rPr>
        <w:t xml:space="preserve">Modifíquese el inciso segundo del artículo 268 de la </w:t>
      </w:r>
      <w:hyperlink r:id="rId173" w:history="1">
        <w:r w:rsidRPr="00875677">
          <w:rPr>
            <w:rStyle w:val="Hipervnculo"/>
            <w:rFonts w:ascii="Times New Roman" w:hAnsi="Times New Roman"/>
          </w:rPr>
          <w:t>Ley 1955 de 2019</w:t>
        </w:r>
      </w:hyperlink>
      <w:r w:rsidRPr="00F53530">
        <w:rPr>
          <w:rFonts w:ascii="Times New Roman" w:hAnsi="Times New Roman"/>
        </w:rPr>
        <w:t>, el cual quedará así:</w:t>
      </w:r>
    </w:p>
    <w:p w14:paraId="045A3EE2"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i/>
        </w:rPr>
        <w:t>Este régimen aplica a las sociedades comerciales que se constituyan en la ZESE, dentro de los tres (3) años siguientes a la entrada en vigencia de la presente ley, bajo cualquiera de las modalidades definidas en la legislación vigente o las sociedades comerciales existentes que durante ese mismo término se acojan a este régimen especial y demuestren un aumento del 15% del empleo directo generado, tomando como base el promedio de los trabajadores vinculados durante los dos últimos años, el cual se debe mantener durante el periodo de vigencia del beneficio, y cuya actividad económica principal consista en el desarrollo de actividades industriales, agropecuarias, comerciales, turísticas o de salud</w:t>
      </w:r>
      <w:r w:rsidRPr="00F53530">
        <w:rPr>
          <w:rFonts w:ascii="Times New Roman" w:hAnsi="Times New Roman"/>
        </w:rPr>
        <w:t>.</w:t>
      </w:r>
    </w:p>
    <w:p w14:paraId="045A3EE3" w14:textId="4117FF5D" w:rsidR="00040448" w:rsidRPr="00F53530" w:rsidRDefault="00040448" w:rsidP="00C44821">
      <w:pPr>
        <w:spacing w:before="240" w:after="240" w:line="240" w:lineRule="auto"/>
        <w:jc w:val="both"/>
        <w:rPr>
          <w:rFonts w:ascii="Times New Roman" w:hAnsi="Times New Roman"/>
        </w:rPr>
      </w:pPr>
      <w:r w:rsidRPr="00C6738E">
        <w:rPr>
          <w:rFonts w:ascii="Times New Roman" w:hAnsi="Times New Roman"/>
          <w:b/>
          <w:bCs/>
        </w:rPr>
        <w:t>ARTÍCULO 148.</w:t>
      </w:r>
      <w:r w:rsidR="00C6738E">
        <w:rPr>
          <w:rFonts w:ascii="Times New Roman" w:hAnsi="Times New Roman"/>
          <w:b/>
          <w:bCs/>
        </w:rPr>
        <w:t xml:space="preserve"> </w:t>
      </w:r>
      <w:r w:rsidRPr="00F53530">
        <w:rPr>
          <w:rFonts w:ascii="Times New Roman" w:hAnsi="Times New Roman"/>
        </w:rPr>
        <w:t>Modifíquese el parágrafo 4</w:t>
      </w:r>
      <w:r w:rsidR="00762A51" w:rsidRPr="00F53530">
        <w:rPr>
          <w:rFonts w:ascii="Times New Roman" w:hAnsi="Times New Roman"/>
        </w:rPr>
        <w:t xml:space="preserve"> </w:t>
      </w:r>
      <w:r w:rsidRPr="00F53530">
        <w:rPr>
          <w:rFonts w:ascii="Times New Roman" w:hAnsi="Times New Roman"/>
        </w:rPr>
        <w:t xml:space="preserve">del artículo 222 de la </w:t>
      </w:r>
      <w:hyperlink r:id="rId174" w:history="1">
        <w:r w:rsidRPr="00646137">
          <w:rPr>
            <w:rStyle w:val="Hipervnculo"/>
            <w:rFonts w:ascii="Times New Roman" w:hAnsi="Times New Roman"/>
          </w:rPr>
          <w:t>Ley 1819 de 2016</w:t>
        </w:r>
      </w:hyperlink>
      <w:r w:rsidRPr="00F53530">
        <w:rPr>
          <w:rFonts w:ascii="Times New Roman" w:hAnsi="Times New Roman"/>
        </w:rPr>
        <w:t>, el cual quedará así:</w:t>
      </w:r>
    </w:p>
    <w:p w14:paraId="045A3EE4"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4.</w:t>
      </w:r>
      <w:r w:rsidRPr="00F53530">
        <w:rPr>
          <w:rFonts w:ascii="Times New Roman" w:hAnsi="Times New Roman"/>
          <w:i/>
        </w:rPr>
        <w:t xml:space="preserve"> </w:t>
      </w:r>
      <w:r w:rsidR="00040448" w:rsidRPr="00F53530">
        <w:rPr>
          <w:rFonts w:ascii="Times New Roman" w:hAnsi="Times New Roman"/>
          <w:i/>
        </w:rPr>
        <w:t>La tarifa del impuesto al carbono por unidad de combustible de la que trata este artículo, en Amazonas, Caquetá, Guainía, Guaviare, Putumayo, Vaupés, Vichada y los municipios de Sipí, Río Sucio, Alto Baudó, Bajo Baudó, Acandí, Unguía, Litoral de San Juan, Bojayá, Medio Atrato, Iró, Bahía Solano, Juradó y Carmen del Darién del departamento del Chocó, para los combustibles enlistados en el inciso 1del presente artículo será de cero pesos ($0).</w:t>
      </w:r>
    </w:p>
    <w:p w14:paraId="045A3EE5" w14:textId="77777777" w:rsidR="00040448" w:rsidRPr="00F53530" w:rsidRDefault="00040448" w:rsidP="00C44821">
      <w:pPr>
        <w:spacing w:before="240" w:after="240" w:line="240" w:lineRule="auto"/>
        <w:jc w:val="both"/>
        <w:rPr>
          <w:rFonts w:ascii="Times New Roman" w:hAnsi="Times New Roman"/>
        </w:rPr>
      </w:pPr>
      <w:r w:rsidRPr="00C6738E">
        <w:rPr>
          <w:rFonts w:ascii="Times New Roman" w:hAnsi="Times New Roman"/>
          <w:b/>
          <w:bCs/>
        </w:rPr>
        <w:t>ARTÍCULO 149. FONDO DE FUENTES ALTERNATIVAS DE PAGO PARA EL DESARROLLO DE INFRAESTRUCTURA (FIP).</w:t>
      </w:r>
      <w:r w:rsidR="00C6738E">
        <w:rPr>
          <w:rFonts w:ascii="Times New Roman" w:hAnsi="Times New Roman"/>
          <w:b/>
          <w:bCs/>
        </w:rPr>
        <w:t xml:space="preserve"> </w:t>
      </w:r>
      <w:r w:rsidRPr="00F53530">
        <w:rPr>
          <w:rFonts w:ascii="Times New Roman" w:hAnsi="Times New Roman"/>
        </w:rPr>
        <w:t>Créase el patrimonio autónomo Fondo de Fuentes Alternativas de Pago para el Desarrollo de Infraestructura (FIP) administrado por el Gobierno nacional o la entidad que esta designe.</w:t>
      </w:r>
    </w:p>
    <w:p w14:paraId="045A3EE6"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El FIP tendrá por objeto la administración y gestión de recursos, que podrán destinarse como fuente de pago para el desarrollo de proyectos de infraestructura.</w:t>
      </w:r>
    </w:p>
    <w:p w14:paraId="045A3EE7"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El FIP estará constituido, entre otros recursos, con:</w:t>
      </w:r>
    </w:p>
    <w:p w14:paraId="045A3EE8"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a) Los recursos derivados de los cobros de valorización nacional;</w:t>
      </w:r>
    </w:p>
    <w:p w14:paraId="045A3EE9"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b) Los recursos del valor residual de concesiones y obras públicas, y/o otras fuentes alternativas que defina el Gobierno nacional y/o las Entidades Territoriales;</w:t>
      </w:r>
    </w:p>
    <w:p w14:paraId="045A3EEA"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c) Los rendimientos que genere el FIP y los que obtenga por la inversión de los recursos que integran su patrimonio;</w:t>
      </w:r>
    </w:p>
    <w:p w14:paraId="045A3EEB" w14:textId="5036146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lastRenderedPageBreak/>
        <w:t xml:space="preserve">d) Los recursos que obtenga a través de operaciones de crédito público y tesorería destinadas al cumplimiento del objeto del FIP y cuya fuente de pago deberá ser los recursos o derechos económicos que conformen su patrimonio. Estas operaciones no podrán contar con la garantía de la Nación y deberán surtir los trámites previstos en la normatividad aplicable para operaciones de crédito público, incluyendo, pero sin limitarse, al </w:t>
      </w:r>
      <w:hyperlink r:id="rId175" w:history="1">
        <w:r w:rsidRPr="00C5581B">
          <w:rPr>
            <w:rStyle w:val="Hipervnculo"/>
            <w:rFonts w:ascii="Times New Roman" w:hAnsi="Times New Roman"/>
          </w:rPr>
          <w:t>Decreto 1068 de 2015</w:t>
        </w:r>
      </w:hyperlink>
      <w:r w:rsidRPr="00F53530">
        <w:rPr>
          <w:rFonts w:ascii="Times New Roman" w:hAnsi="Times New Roman"/>
        </w:rPr>
        <w:t xml:space="preserve"> y sus respectivas modificaciones;</w:t>
      </w:r>
    </w:p>
    <w:p w14:paraId="045A3EEC"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 Los recursos del Presupuesto General de la Nación a favor del FIP:</w:t>
      </w:r>
    </w:p>
    <w:p w14:paraId="045A3EED"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f) Los demás que determine el Gobierno nacional.</w:t>
      </w:r>
    </w:p>
    <w:p w14:paraId="045A3EEE"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El Gobierno nacional reglamentará la administración y funcionamiento del FIP así como los demás asuntos necesarios para el cumplimiento de su objeto.</w:t>
      </w:r>
    </w:p>
    <w:p w14:paraId="045A3EEF" w14:textId="77777777" w:rsidR="00040448" w:rsidRPr="00F53530" w:rsidRDefault="00280B8A" w:rsidP="00C44821">
      <w:pPr>
        <w:spacing w:before="240" w:after="240" w:line="240" w:lineRule="auto"/>
        <w:jc w:val="both"/>
        <w:rPr>
          <w:rFonts w:ascii="Times New Roman" w:hAnsi="Times New Roman"/>
        </w:rPr>
      </w:pPr>
      <w:r w:rsidRPr="00C6738E">
        <w:rPr>
          <w:rFonts w:ascii="Times New Roman" w:hAnsi="Times New Roman"/>
          <w:b/>
          <w:bCs/>
        </w:rPr>
        <w:t>PARÁGRAFO 1.</w:t>
      </w:r>
      <w:r w:rsidRPr="00F53530">
        <w:rPr>
          <w:rFonts w:ascii="Times New Roman" w:hAnsi="Times New Roman"/>
        </w:rPr>
        <w:t xml:space="preserve"> </w:t>
      </w:r>
      <w:r w:rsidR="00040448" w:rsidRPr="00F53530">
        <w:rPr>
          <w:rFonts w:ascii="Times New Roman" w:hAnsi="Times New Roman"/>
        </w:rPr>
        <w:t>Los bienes del FIP formarán un patrimonio autónomo distinto al de la Nación y al de su administrador.</w:t>
      </w:r>
    </w:p>
    <w:p w14:paraId="045A3EF0" w14:textId="77777777" w:rsidR="00040448" w:rsidRPr="00F53530" w:rsidRDefault="00280B8A" w:rsidP="00C44821">
      <w:pPr>
        <w:spacing w:before="240" w:after="240" w:line="240" w:lineRule="auto"/>
        <w:jc w:val="both"/>
        <w:rPr>
          <w:rFonts w:ascii="Times New Roman" w:hAnsi="Times New Roman"/>
        </w:rPr>
      </w:pPr>
      <w:r w:rsidRPr="00C6738E">
        <w:rPr>
          <w:rFonts w:ascii="Times New Roman" w:hAnsi="Times New Roman"/>
          <w:b/>
          <w:bCs/>
        </w:rPr>
        <w:t>PARÁGRAFO 2.</w:t>
      </w:r>
      <w:r w:rsidRPr="00F53530">
        <w:rPr>
          <w:rFonts w:ascii="Times New Roman" w:hAnsi="Times New Roman"/>
        </w:rPr>
        <w:t xml:space="preserve"> </w:t>
      </w:r>
      <w:r w:rsidR="00040448" w:rsidRPr="00F53530">
        <w:rPr>
          <w:rFonts w:ascii="Times New Roman" w:hAnsi="Times New Roman"/>
        </w:rPr>
        <w:t>Los costos y gastos de administración del patrimonio autónomo se atenderán con cargo a sus recursos, conforme a la reglamentación que para tal efecto expida el Gobierno nacional.</w:t>
      </w:r>
    </w:p>
    <w:p w14:paraId="045A3EF1" w14:textId="77777777" w:rsidR="00040448" w:rsidRDefault="00280B8A" w:rsidP="00C44821">
      <w:pPr>
        <w:spacing w:before="240" w:after="240" w:line="240" w:lineRule="auto"/>
        <w:jc w:val="both"/>
        <w:rPr>
          <w:rFonts w:ascii="Times New Roman" w:hAnsi="Times New Roman"/>
        </w:rPr>
      </w:pPr>
      <w:r w:rsidRPr="00C6738E">
        <w:rPr>
          <w:rFonts w:ascii="Times New Roman" w:hAnsi="Times New Roman"/>
          <w:b/>
          <w:bCs/>
        </w:rPr>
        <w:t>PARÁGRAFO 3.</w:t>
      </w:r>
      <w:r w:rsidR="00A03C6F" w:rsidRPr="00F53530">
        <w:rPr>
          <w:rFonts w:ascii="Times New Roman" w:hAnsi="Times New Roman"/>
        </w:rPr>
        <w:t xml:space="preserve"> </w:t>
      </w:r>
      <w:r w:rsidR="00040448" w:rsidRPr="00F53530">
        <w:rPr>
          <w:rFonts w:ascii="Times New Roman" w:hAnsi="Times New Roman"/>
        </w:rPr>
        <w:t>El FIP podrá entregar a cualquier título los recursos a las entidades concedentes para el desarrollo de proyectos de infraestructura, de acuerdo con las condiciones que se definan en los correspondientes contratos y reglamentos del FIP.</w:t>
      </w:r>
    </w:p>
    <w:p w14:paraId="045A3EF2" w14:textId="2A99038E" w:rsidR="00544191" w:rsidRPr="00544191" w:rsidRDefault="00544191" w:rsidP="00A96FFD">
      <w:pPr>
        <w:numPr>
          <w:ilvl w:val="0"/>
          <w:numId w:val="1"/>
        </w:numPr>
        <w:spacing w:before="240" w:after="240" w:line="240" w:lineRule="auto"/>
        <w:jc w:val="both"/>
        <w:rPr>
          <w:rFonts w:ascii="Times New Roman" w:hAnsi="Times New Roman"/>
          <w:highlight w:val="yellow"/>
        </w:rPr>
      </w:pPr>
      <w:hyperlink r:id="rId176" w:history="1">
        <w:r w:rsidRPr="00A96FFD">
          <w:rPr>
            <w:rStyle w:val="Hipervnculo"/>
            <w:rFonts w:ascii="Times New Roman" w:hAnsi="Times New Roman"/>
            <w:b/>
            <w:highlight w:val="yellow"/>
          </w:rPr>
          <w:t>Decreto Único Reglamentario 1068 de 26 de mayo de 2015</w:t>
        </w:r>
      </w:hyperlink>
      <w:r w:rsidRPr="00A96FFD">
        <w:rPr>
          <w:rFonts w:ascii="Times New Roman" w:hAnsi="Times New Roman"/>
          <w:b/>
          <w:highlight w:val="yellow"/>
        </w:rPr>
        <w:t xml:space="preserve">: </w:t>
      </w:r>
      <w:r w:rsidRPr="00A96FFD">
        <w:rPr>
          <w:rFonts w:ascii="Times New Roman" w:hAnsi="Times New Roman"/>
          <w:highlight w:val="yellow"/>
        </w:rPr>
        <w:t xml:space="preserve">Arts. </w:t>
      </w:r>
      <w:r w:rsidR="00A96FFD" w:rsidRPr="00A96FFD">
        <w:rPr>
          <w:rFonts w:ascii="Times New Roman" w:hAnsi="Times New Roman"/>
          <w:highlight w:val="yellow"/>
        </w:rPr>
        <w:t xml:space="preserve">2.3.4.7.1 y 2.3.4.7.2; </w:t>
      </w:r>
      <w:r w:rsidR="00E23C30">
        <w:rPr>
          <w:rFonts w:ascii="Times New Roman" w:hAnsi="Times New Roman"/>
          <w:highlight w:val="yellow"/>
        </w:rPr>
        <w:t>2.24.1 al 2.24.22</w:t>
      </w:r>
      <w:r w:rsidRPr="00544191">
        <w:rPr>
          <w:rFonts w:ascii="Times New Roman" w:hAnsi="Times New Roman"/>
          <w:highlight w:val="yellow"/>
        </w:rPr>
        <w:t>.</w:t>
      </w:r>
    </w:p>
    <w:p w14:paraId="045A3EF3" w14:textId="17B74F76" w:rsidR="00040448" w:rsidRPr="00F53530" w:rsidRDefault="00040448" w:rsidP="00C44821">
      <w:pPr>
        <w:spacing w:before="240" w:after="240" w:line="240" w:lineRule="auto"/>
        <w:jc w:val="both"/>
        <w:rPr>
          <w:rFonts w:ascii="Times New Roman" w:hAnsi="Times New Roman"/>
        </w:rPr>
      </w:pPr>
      <w:r w:rsidRPr="00C6738E">
        <w:rPr>
          <w:rFonts w:ascii="Times New Roman" w:hAnsi="Times New Roman"/>
          <w:b/>
          <w:bCs/>
        </w:rPr>
        <w:t>ARTÍCULO 150.</w:t>
      </w:r>
      <w:r w:rsidR="00C6738E">
        <w:rPr>
          <w:rFonts w:ascii="Times New Roman" w:hAnsi="Times New Roman"/>
          <w:b/>
          <w:bCs/>
        </w:rPr>
        <w:t xml:space="preserve"> </w:t>
      </w:r>
      <w:r w:rsidRPr="00F53530">
        <w:rPr>
          <w:rFonts w:ascii="Times New Roman" w:hAnsi="Times New Roman"/>
        </w:rPr>
        <w:t xml:space="preserve">Modifíquese el artículo 54 de la </w:t>
      </w:r>
      <w:hyperlink r:id="rId177" w:history="1">
        <w:r w:rsidRPr="00F50CA6">
          <w:rPr>
            <w:rStyle w:val="Hipervnculo"/>
            <w:rFonts w:ascii="Times New Roman" w:hAnsi="Times New Roman"/>
          </w:rPr>
          <w:t>Ley 1430 de 2010</w:t>
        </w:r>
      </w:hyperlink>
      <w:r w:rsidRPr="00F53530">
        <w:rPr>
          <w:rFonts w:ascii="Times New Roman" w:hAnsi="Times New Roman"/>
        </w:rPr>
        <w:t xml:space="preserve">, modificado por el artículo 177 de la </w:t>
      </w:r>
      <w:hyperlink r:id="rId178" w:history="1">
        <w:r w:rsidRPr="00F50CA6">
          <w:rPr>
            <w:rStyle w:val="Hipervnculo"/>
            <w:rFonts w:ascii="Times New Roman" w:hAnsi="Times New Roman"/>
          </w:rPr>
          <w:t>Ley 1607 de 2012</w:t>
        </w:r>
      </w:hyperlink>
      <w:r w:rsidRPr="00F53530">
        <w:rPr>
          <w:rFonts w:ascii="Times New Roman" w:hAnsi="Times New Roman"/>
        </w:rPr>
        <w:t>, el cual quedará así:</w:t>
      </w:r>
    </w:p>
    <w:p w14:paraId="045A3EF4" w14:textId="77777777" w:rsidR="00040448" w:rsidRPr="00F53530" w:rsidRDefault="00040448" w:rsidP="00C44821">
      <w:pPr>
        <w:spacing w:before="240" w:after="240" w:line="240" w:lineRule="auto"/>
        <w:jc w:val="both"/>
        <w:rPr>
          <w:rFonts w:ascii="Times New Roman" w:hAnsi="Times New Roman"/>
          <w:i/>
        </w:rPr>
      </w:pPr>
      <w:r w:rsidRPr="009A77AA">
        <w:rPr>
          <w:rFonts w:ascii="Times New Roman" w:hAnsi="Times New Roman"/>
          <w:b/>
          <w:bCs/>
          <w:i/>
        </w:rPr>
        <w:t>Artículo 54</w:t>
      </w:r>
      <w:r w:rsidR="00280B8A" w:rsidRPr="009A77AA">
        <w:rPr>
          <w:rFonts w:ascii="Times New Roman" w:hAnsi="Times New Roman"/>
          <w:b/>
          <w:bCs/>
          <w:i/>
        </w:rPr>
        <w:t>.</w:t>
      </w:r>
      <w:r w:rsidRPr="009A77AA">
        <w:rPr>
          <w:rFonts w:ascii="Times New Roman" w:hAnsi="Times New Roman"/>
          <w:b/>
          <w:bCs/>
          <w:i/>
        </w:rPr>
        <w:t xml:space="preserve"> Sujetos pasivos de los impuestos territoriales</w:t>
      </w:r>
      <w:r w:rsidRPr="00F53530">
        <w:rPr>
          <w:rFonts w:ascii="Times New Roman" w:hAnsi="Times New Roman"/>
          <w:i/>
        </w:rPr>
        <w:t>. Son sujetos pasivos de los impuestos departamentales y municipales, las personas naturales, jurídicas, sociedades de hecho y aquellas en quienes se realicen el hecho gravado a través de consorcios, uniones temporales, patrimonios autónomos en quienes se figure el hecho generador del impuesto.</w:t>
      </w:r>
    </w:p>
    <w:p w14:paraId="045A3EF5"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 xml:space="preserve">En materia de impuesto predial y valorización los bienes de uso público y obra de infraestructura continuarán excluidos de tales tributos, excepto las áreas ocupadas por edificios, parqueaderos, instalaciones, dispuestos para los usuarios internos o externos de los aeropuertos, así como los establecimientos mercantiles y las áreas que proporcionen bienes y servicios relacionados con la explotación comercial de los aeropuertos. En todo caso, no estarán gravados los aeropuertos y puertos no concesionados, </w:t>
      </w:r>
      <w:r w:rsidRPr="00521993">
        <w:rPr>
          <w:rFonts w:ascii="Times New Roman" w:hAnsi="Times New Roman"/>
          <w:i/>
          <w:u w:val="single"/>
        </w:rPr>
        <w:t>las pistas, calles de rodaje, taxeos, hangares y plataformas, cuyo objeto es facilitar la operación de aeronaves</w:t>
      </w:r>
      <w:r w:rsidRPr="00F53530">
        <w:rPr>
          <w:rFonts w:ascii="Times New Roman" w:hAnsi="Times New Roman"/>
          <w:i/>
        </w:rPr>
        <w:t>. Son sujetos pasivos del impuesto predial, los tenedores a título de arrendamiento, uso, usufructo u otra forma de explotación comercial que se haga mediante establecimiento mercantil dentro de las áreas objeto del contrato de concesión correspondientes a puertos aéreos y marítimos.</w:t>
      </w:r>
    </w:p>
    <w:p w14:paraId="045A3EF6"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En este caso la base gravable se determinará así:</w:t>
      </w:r>
    </w:p>
    <w:p w14:paraId="045A3EF7"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a) Para los arrendatarios el valor de la tenencia equivale a un canon de arrendamiento mensual;</w:t>
      </w:r>
    </w:p>
    <w:p w14:paraId="045A3EF8"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b) Para los usuarios o usufructuarios el valor del derecho de uso del área objeto de tales derechos será objeto de valoración pericial;</w:t>
      </w:r>
    </w:p>
    <w:p w14:paraId="045A3EF9"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lastRenderedPageBreak/>
        <w:t>c) En los demás casos la base gravable será el avalúo que resulte de la proporción de áreas sujetas a explotación, teniendo en cuenta la información de la base catastral.</w:t>
      </w:r>
    </w:p>
    <w:p w14:paraId="045A3EFA"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1.</w:t>
      </w:r>
      <w:r w:rsidRPr="00F53530">
        <w:rPr>
          <w:rFonts w:ascii="Times New Roman" w:hAnsi="Times New Roman"/>
          <w:i/>
        </w:rPr>
        <w:t xml:space="preserve"> </w:t>
      </w:r>
      <w:r w:rsidR="00040448" w:rsidRPr="00F53530">
        <w:rPr>
          <w:rFonts w:ascii="Times New Roman" w:hAnsi="Times New Roman"/>
          <w:i/>
        </w:rPr>
        <w:t>La remuneración y explotación de los contratos de concesión para la construcción de obras de infraestructura continuará sujeta a todos los impuestos directos que tengan como hecho generador los ingresos del contratista, incluidos los provenientes del recaudo de ingresos.</w:t>
      </w:r>
    </w:p>
    <w:p w14:paraId="045A3EFB"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2.</w:t>
      </w:r>
      <w:r w:rsidRPr="00F53530">
        <w:rPr>
          <w:rFonts w:ascii="Times New Roman" w:hAnsi="Times New Roman"/>
          <w:i/>
        </w:rPr>
        <w:t xml:space="preserve"> </w:t>
      </w:r>
      <w:r w:rsidR="00040448" w:rsidRPr="00F53530">
        <w:rPr>
          <w:rFonts w:ascii="Times New Roman" w:hAnsi="Times New Roman"/>
          <w:i/>
        </w:rPr>
        <w:t>Frente al impuesto a cargo de los patrimonios autónomos los fideicomitentes y/o beneficiarios, son responsables por las obligaciones formales y sustanciales del impuesto, en su calidad de sujetos pasivos. En los contratos de cuenta de participación el responsable del cumplimiento de la obligación de declarar es el socio gestor; en los consorcios, socios o partícipes de los consorcios, uniones temporales, lo será el representante de la forma contractual. Todo lo anterior, sin perjuicio de la facultad Tributaria respectiva de señalar agentes de retención frente a tales ingresos.</w:t>
      </w:r>
    </w:p>
    <w:p w14:paraId="045A3EFC" w14:textId="77777777" w:rsidR="00040448"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 3</w:t>
      </w:r>
      <w:r w:rsidRPr="00F53530">
        <w:rPr>
          <w:rFonts w:ascii="Times New Roman" w:hAnsi="Times New Roman"/>
          <w:i/>
        </w:rPr>
        <w:t xml:space="preserve">. </w:t>
      </w:r>
      <w:r w:rsidR="00040448" w:rsidRPr="00F53530">
        <w:rPr>
          <w:rFonts w:ascii="Times New Roman" w:hAnsi="Times New Roman"/>
          <w:i/>
        </w:rPr>
        <w:t>Lo dispuesto en este artículo aplicará a los nuevos contratos de concesión y de Asociación Pública Privada de puertos aéreos y marítimos que se suscriban o modifiquen adicionando el plazo inicialmente pactado.</w:t>
      </w:r>
    </w:p>
    <w:p w14:paraId="463C2773" w14:textId="346D3A1F" w:rsidR="00521993" w:rsidRPr="00521993" w:rsidRDefault="00521993" w:rsidP="00521993">
      <w:pPr>
        <w:numPr>
          <w:ilvl w:val="0"/>
          <w:numId w:val="1"/>
        </w:numPr>
        <w:spacing w:before="240" w:after="240" w:line="240" w:lineRule="auto"/>
        <w:jc w:val="both"/>
        <w:rPr>
          <w:rFonts w:ascii="Times New Roman" w:hAnsi="Times New Roman"/>
          <w:highlight w:val="cyan"/>
        </w:rPr>
      </w:pPr>
      <w:r w:rsidRPr="00521993">
        <w:rPr>
          <w:rFonts w:ascii="Times New Roman" w:hAnsi="Times New Roman"/>
          <w:highlight w:val="cyan"/>
        </w:rPr>
        <w:t>Aparte subraya</w:t>
      </w:r>
      <w:r>
        <w:rPr>
          <w:rFonts w:ascii="Times New Roman" w:hAnsi="Times New Roman"/>
          <w:highlight w:val="cyan"/>
        </w:rPr>
        <w:t xml:space="preserve">do del artículo 150 declarado </w:t>
      </w:r>
      <w:r w:rsidRPr="00521993">
        <w:rPr>
          <w:rFonts w:ascii="Times New Roman" w:hAnsi="Times New Roman"/>
          <w:highlight w:val="cyan"/>
        </w:rPr>
        <w:t xml:space="preserve">EXEQUIBLE por la Corte Constitucional mediante </w:t>
      </w:r>
      <w:hyperlink r:id="rId179" w:history="1">
        <w:r w:rsidRPr="00521993">
          <w:rPr>
            <w:rStyle w:val="Hipervnculo"/>
            <w:rFonts w:ascii="Times New Roman" w:hAnsi="Times New Roman"/>
            <w:highlight w:val="cyan"/>
          </w:rPr>
          <w:t>Sentencia C-500 de 27 de noviembre de 2024</w:t>
        </w:r>
      </w:hyperlink>
      <w:r w:rsidRPr="00521993">
        <w:rPr>
          <w:rFonts w:ascii="Times New Roman" w:hAnsi="Times New Roman"/>
          <w:highlight w:val="cyan"/>
        </w:rPr>
        <w:t xml:space="preserve">, Magistrado Ponente Dra. Paola Andrea Meneses Mosquera. </w:t>
      </w:r>
    </w:p>
    <w:p w14:paraId="045A3EFD" w14:textId="14D2CBC7" w:rsidR="00040448" w:rsidRDefault="008707D5" w:rsidP="00C44821">
      <w:pPr>
        <w:spacing w:before="240" w:after="240" w:line="240" w:lineRule="auto"/>
        <w:jc w:val="both"/>
        <w:rPr>
          <w:rFonts w:ascii="Times New Roman" w:hAnsi="Times New Roman"/>
        </w:rPr>
      </w:pPr>
      <w:r w:rsidRPr="00C43C54">
        <w:rPr>
          <w:rFonts w:ascii="Times New Roman" w:hAnsi="Times New Roman"/>
          <w:b/>
          <w:bCs/>
        </w:rPr>
        <w:t>ARTÍCULO 151.</w:t>
      </w:r>
      <w:r w:rsidRPr="00C43C54">
        <w:rPr>
          <w:rFonts w:ascii="Times New Roman" w:hAnsi="Times New Roman"/>
        </w:rPr>
        <w:t xml:space="preserve"> </w:t>
      </w:r>
      <w:r w:rsidRPr="00C43C54">
        <w:rPr>
          <w:rFonts w:ascii="Times New Roman" w:hAnsi="Times New Roman"/>
          <w:b/>
          <w:bCs/>
        </w:rPr>
        <w:t>CONTRAPRESTACIONES AEROPORTUARIAS.</w:t>
      </w:r>
      <w:r w:rsidRPr="00C43C54">
        <w:rPr>
          <w:rFonts w:ascii="Times New Roman" w:hAnsi="Times New Roman"/>
        </w:rPr>
        <w:t xml:space="preserve"> </w:t>
      </w:r>
      <w:r w:rsidRPr="00C43C54">
        <w:rPr>
          <w:rFonts w:ascii="Times New Roman" w:hAnsi="Times New Roman"/>
          <w:b/>
          <w:i/>
        </w:rPr>
        <w:t xml:space="preserve">(Artículo modificado por el artículo 87 de la </w:t>
      </w:r>
      <w:hyperlink r:id="rId180" w:history="1">
        <w:r w:rsidRPr="00C43C54">
          <w:rPr>
            <w:rStyle w:val="Hipervnculo"/>
            <w:rFonts w:ascii="Times New Roman" w:hAnsi="Times New Roman"/>
            <w:b/>
            <w:bCs/>
            <w:i/>
          </w:rPr>
          <w:t>Ley 2277 de 13 de diciembre de 2022</w:t>
        </w:r>
      </w:hyperlink>
      <w:r w:rsidRPr="00C43C54">
        <w:rPr>
          <w:rFonts w:ascii="Times New Roman" w:hAnsi="Times New Roman"/>
          <w:b/>
          <w:bCs/>
          <w:i/>
        </w:rPr>
        <w:t>).</w:t>
      </w:r>
      <w:r>
        <w:rPr>
          <w:rFonts w:ascii="Times New Roman" w:hAnsi="Times New Roman"/>
          <w:b/>
          <w:bCs/>
          <w:i/>
        </w:rPr>
        <w:t xml:space="preserve"> </w:t>
      </w:r>
      <w:r w:rsidRPr="00C43C54">
        <w:rPr>
          <w:rFonts w:ascii="Times New Roman" w:hAnsi="Times New Roman"/>
        </w:rPr>
        <w:t xml:space="preserve">En los contratos de concesión o de asociación público privada, suscritos o que se suscriban que tengan por objeto la construcción, mejoramiento o rehabilitación y/o la operación de uno o varios aeropuertos de propiedad de entidades del orden nacional, en los que se establezca una contraprestación a favor del concedente, el veinte por ciento (20%) del total de la contraprestación se trasladará a los municipios y/o distritos en los que se encuentren ubicados los correspondientes aeropuertos objeto de la concesión, en el caso que una concesión incluya varios aeropuertos, los recursos se distribuirán entre los municipios donde operan, de acuerdo a su participación en el total de pasajeros movilizados por la concesión. Estos recursos serán destinados por la entidad territorial correspondiente, a la construcción y/o mejoramiento de las vías, la construcción y/u operación de infraestructuras de servicios conexos al de transporte público y la implementación y/u operación de sistemas de transporte público colectivo o masivo que den acceso y mejoren la conectividad del aeropuerto correspondiente. Del ochenta por ciento (80%) restante de la contraprestación a trasladarse se descontará la contraprestación establecida en el artículo 308 de la </w:t>
      </w:r>
      <w:hyperlink r:id="rId181" w:history="1">
        <w:r w:rsidRPr="00AC1B10">
          <w:rPr>
            <w:rStyle w:val="Hipervnculo"/>
            <w:rFonts w:ascii="Times New Roman" w:hAnsi="Times New Roman"/>
          </w:rPr>
          <w:t>Ley 1955 de 2019</w:t>
        </w:r>
      </w:hyperlink>
      <w:r w:rsidRPr="00C43C54">
        <w:rPr>
          <w:rFonts w:ascii="Times New Roman" w:hAnsi="Times New Roman"/>
        </w:rPr>
        <w:t>, para gastos de funcionamiento de la Unidad Especial de Aeronáutica Civil y la Agencia Nacional de Infraestructura, o l</w:t>
      </w:r>
      <w:r>
        <w:rPr>
          <w:rFonts w:ascii="Times New Roman" w:hAnsi="Times New Roman"/>
        </w:rPr>
        <w:t>as entidades que haga sus veces</w:t>
      </w:r>
      <w:r w:rsidR="00040448" w:rsidRPr="00F53530">
        <w:rPr>
          <w:rFonts w:ascii="Times New Roman" w:hAnsi="Times New Roman"/>
        </w:rPr>
        <w:t>.</w:t>
      </w:r>
    </w:p>
    <w:p w14:paraId="045A3EFE" w14:textId="322496B8" w:rsidR="00E66C75" w:rsidRPr="00F53530" w:rsidRDefault="00E66C75" w:rsidP="00C44821">
      <w:pPr>
        <w:spacing w:before="240" w:after="240" w:line="240" w:lineRule="auto"/>
        <w:jc w:val="both"/>
        <w:rPr>
          <w:rFonts w:ascii="Times New Roman" w:hAnsi="Times New Roman"/>
        </w:rPr>
      </w:pPr>
      <w:r w:rsidRPr="00E66C75">
        <w:rPr>
          <w:rFonts w:ascii="Times New Roman" w:hAnsi="Times New Roman"/>
          <w:b/>
          <w:bCs/>
        </w:rPr>
        <w:t>PARÁGRAFO.</w:t>
      </w:r>
      <w:r w:rsidRPr="00A7463B">
        <w:rPr>
          <w:rFonts w:ascii="Times New Roman" w:hAnsi="Times New Roman"/>
          <w:i/>
          <w:iCs/>
        </w:rPr>
        <w:t xml:space="preserve"> </w:t>
      </w:r>
      <w:r w:rsidRPr="00283D0B">
        <w:rPr>
          <w:rFonts w:ascii="Times New Roman" w:hAnsi="Times New Roman"/>
          <w:b/>
          <w:bCs/>
          <w:i/>
          <w:iCs/>
        </w:rPr>
        <w:t>(</w:t>
      </w:r>
      <w:r>
        <w:rPr>
          <w:rFonts w:ascii="Times New Roman" w:hAnsi="Times New Roman"/>
          <w:b/>
          <w:bCs/>
          <w:i/>
          <w:iCs/>
        </w:rPr>
        <w:t>Parágrafo adicion</w:t>
      </w:r>
      <w:r w:rsidRPr="00E66C75">
        <w:rPr>
          <w:rFonts w:ascii="Times New Roman" w:hAnsi="Times New Roman"/>
          <w:b/>
          <w:bCs/>
          <w:i/>
          <w:iCs/>
        </w:rPr>
        <w:t xml:space="preserve">ado por el artículo 283 de la </w:t>
      </w:r>
      <w:hyperlink r:id="rId182" w:history="1">
        <w:r w:rsidRPr="00E66C75">
          <w:rPr>
            <w:rStyle w:val="Hipervnculo"/>
            <w:rFonts w:ascii="Times New Roman" w:hAnsi="Times New Roman"/>
            <w:b/>
            <w:bCs/>
            <w:i/>
            <w:iCs/>
          </w:rPr>
          <w:t>Ley 2294 de 19 de mayo de 2023</w:t>
        </w:r>
      </w:hyperlink>
      <w:r w:rsidRPr="00E66C75">
        <w:rPr>
          <w:rFonts w:ascii="Times New Roman" w:hAnsi="Times New Roman"/>
          <w:b/>
          <w:bCs/>
          <w:i/>
          <w:iCs/>
        </w:rPr>
        <w:t xml:space="preserve">). </w:t>
      </w:r>
      <w:r w:rsidRPr="00E66C75">
        <w:rPr>
          <w:rFonts w:ascii="Times New Roman" w:hAnsi="Times New Roman"/>
        </w:rPr>
        <w:t>En el caso en que un aeropuerto se encuentre en más de un municipio o en varias entidades territoriales, los recursos de la contraprestación se distribuirán en función de la proporción de área de cada entidad territorial respecto al área total de cada aeropuerto, incluyendo áreas concesionadas y no concesionadas. El área total del respectivo aeropuerto será informada por la Aerocivil.</w:t>
      </w:r>
    </w:p>
    <w:p w14:paraId="045A3EFF" w14:textId="551FB6F0" w:rsidR="00040448" w:rsidRPr="00F53530" w:rsidRDefault="00040448" w:rsidP="00C44821">
      <w:pPr>
        <w:spacing w:before="240" w:after="240" w:line="240" w:lineRule="auto"/>
        <w:jc w:val="both"/>
        <w:rPr>
          <w:rFonts w:ascii="Times New Roman" w:hAnsi="Times New Roman"/>
        </w:rPr>
      </w:pPr>
      <w:r w:rsidRPr="00834200">
        <w:rPr>
          <w:rFonts w:ascii="Times New Roman" w:hAnsi="Times New Roman"/>
          <w:b/>
          <w:bCs/>
        </w:rPr>
        <w:t>ARTÍCULO 152.</w:t>
      </w:r>
      <w:r w:rsidR="00834200">
        <w:rPr>
          <w:rFonts w:ascii="Times New Roman" w:hAnsi="Times New Roman"/>
          <w:b/>
          <w:bCs/>
        </w:rPr>
        <w:t xml:space="preserve"> </w:t>
      </w:r>
      <w:r w:rsidRPr="00F53530">
        <w:rPr>
          <w:rFonts w:ascii="Times New Roman" w:hAnsi="Times New Roman"/>
        </w:rPr>
        <w:t xml:space="preserve">Créase una tasa por el trámite de control previo de integraciones empresariales que adelanta la Superintendencia de Industria y Comercio de acuerdo con lo previsto en los artículos 9 a 13 de la </w:t>
      </w:r>
      <w:hyperlink r:id="rId183" w:history="1">
        <w:r w:rsidRPr="00875677">
          <w:rPr>
            <w:rStyle w:val="Hipervnculo"/>
            <w:rFonts w:ascii="Times New Roman" w:hAnsi="Times New Roman"/>
          </w:rPr>
          <w:t>Ley 1340 de 2009</w:t>
        </w:r>
      </w:hyperlink>
      <w:r w:rsidRPr="00F53530">
        <w:rPr>
          <w:rFonts w:ascii="Times New Roman" w:hAnsi="Times New Roman"/>
        </w:rPr>
        <w:t>.</w:t>
      </w:r>
    </w:p>
    <w:p w14:paraId="045A3F00"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lastRenderedPageBreak/>
        <w:t>El sujeto pasivo de la tasa será la persona que promueva la iniciación del trámite de control previo de integraciones empresariales.</w:t>
      </w:r>
    </w:p>
    <w:p w14:paraId="045A3F01"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La Superintendencia de Industria y Comercio fijará el valor de la tasa creada mediante el presente artículo. Para tal propósito, se tendrán en cuenta los siguientes criterios:</w:t>
      </w:r>
    </w:p>
    <w:p w14:paraId="045A3F02" w14:textId="1533B5AA"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1. El valor de la tasa se cobrará en proporción con el tipo de procedimiento que deba agotarse para adoptar la decisión final, de acuerdo con lo dispuesto en los artículos 9 y 10 de la </w:t>
      </w:r>
      <w:hyperlink r:id="rId184" w:history="1">
        <w:r w:rsidRPr="00875677">
          <w:rPr>
            <w:rStyle w:val="Hipervnculo"/>
            <w:rFonts w:ascii="Times New Roman" w:hAnsi="Times New Roman"/>
          </w:rPr>
          <w:t>Ley 1340 de 2009</w:t>
        </w:r>
      </w:hyperlink>
      <w:r w:rsidRPr="00F53530">
        <w:rPr>
          <w:rFonts w:ascii="Times New Roman" w:hAnsi="Times New Roman"/>
        </w:rPr>
        <w:t>.</w:t>
      </w:r>
    </w:p>
    <w:p w14:paraId="045A3F03"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2. El monto global guardará directa correspondencia con los costos asociados a la prestación del servicio.</w:t>
      </w:r>
    </w:p>
    <w:p w14:paraId="045A3F04"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El ajuste anual de las tasas fijadas en la forma establecida en este artículo no podrá exceder el porcentaje en que varíe el índice de precios al consumidor, nivel ingresos medios, fijado por el Departamento Administrativo Nacional de Estadística (DANE).</w:t>
      </w:r>
    </w:p>
    <w:p w14:paraId="045A3F05" w14:textId="77777777" w:rsidR="009437A0" w:rsidRDefault="009437A0" w:rsidP="009437A0">
      <w:pPr>
        <w:autoSpaceDE w:val="0"/>
        <w:autoSpaceDN w:val="0"/>
        <w:adjustRightInd w:val="0"/>
        <w:spacing w:after="0" w:line="240" w:lineRule="auto"/>
        <w:rPr>
          <w:rFonts w:ascii="Times New Roman" w:hAnsi="Times New Roman"/>
          <w:b/>
          <w:highlight w:val="yellow"/>
          <w:lang w:val="es-ES"/>
        </w:rPr>
      </w:pPr>
      <w:r w:rsidRPr="00A9500E">
        <w:rPr>
          <w:rFonts w:ascii="Times New Roman" w:hAnsi="Times New Roman"/>
          <w:b/>
          <w:highlight w:val="yellow"/>
          <w:lang w:val="es-ES"/>
        </w:rPr>
        <w:t>CONCORDANCIAS:</w:t>
      </w:r>
    </w:p>
    <w:p w14:paraId="11243763" w14:textId="20C2CCA7" w:rsidR="00EA5EBB" w:rsidRPr="00A9500E" w:rsidRDefault="00EA5EBB" w:rsidP="00EA5EBB">
      <w:pPr>
        <w:numPr>
          <w:ilvl w:val="0"/>
          <w:numId w:val="1"/>
        </w:numPr>
        <w:autoSpaceDE w:val="0"/>
        <w:autoSpaceDN w:val="0"/>
        <w:adjustRightInd w:val="0"/>
        <w:spacing w:after="0" w:line="240" w:lineRule="auto"/>
        <w:jc w:val="both"/>
        <w:rPr>
          <w:rFonts w:ascii="Times New Roman" w:hAnsi="Times New Roman"/>
          <w:b/>
          <w:highlight w:val="yellow"/>
          <w:lang w:val="es-ES"/>
        </w:rPr>
      </w:pPr>
      <w:hyperlink r:id="rId185" w:history="1">
        <w:r w:rsidRPr="00EA5EBB">
          <w:rPr>
            <w:rStyle w:val="Hipervnculo"/>
            <w:rFonts w:ascii="Times New Roman" w:hAnsi="Times New Roman"/>
            <w:b/>
            <w:highlight w:val="yellow"/>
            <w:lang w:val="es-ES"/>
          </w:rPr>
          <w:t>Resolución Superintendencia de Industria y Comercio No. 1111 de 24 de enero de 2025</w:t>
        </w:r>
      </w:hyperlink>
      <w:r>
        <w:rPr>
          <w:rFonts w:ascii="Times New Roman" w:hAnsi="Times New Roman"/>
          <w:b/>
          <w:highlight w:val="yellow"/>
          <w:lang w:val="es-ES"/>
        </w:rPr>
        <w:t xml:space="preserve">: </w:t>
      </w:r>
      <w:r w:rsidRPr="001D029D">
        <w:rPr>
          <w:rFonts w:ascii="Times New Roman" w:hAnsi="Times New Roman"/>
          <w:highlight w:val="yellow"/>
        </w:rPr>
        <w:t>Por medio de la cual se fija el valor de la tasa creada mediante el artículo 152 de la Ley 2010 de 2019.</w:t>
      </w:r>
    </w:p>
    <w:p w14:paraId="45D86967" w14:textId="33BF2014" w:rsidR="00974B68" w:rsidRPr="00A9500E" w:rsidRDefault="00974B68" w:rsidP="00974B68">
      <w:pPr>
        <w:numPr>
          <w:ilvl w:val="0"/>
          <w:numId w:val="1"/>
        </w:numPr>
        <w:autoSpaceDE w:val="0"/>
        <w:autoSpaceDN w:val="0"/>
        <w:adjustRightInd w:val="0"/>
        <w:spacing w:after="0" w:line="240" w:lineRule="auto"/>
        <w:jc w:val="both"/>
        <w:rPr>
          <w:rFonts w:ascii="Times New Roman" w:hAnsi="Times New Roman"/>
          <w:b/>
          <w:highlight w:val="yellow"/>
          <w:lang w:val="es-ES"/>
        </w:rPr>
      </w:pPr>
      <w:hyperlink r:id="rId186" w:history="1">
        <w:r w:rsidRPr="00974B68">
          <w:rPr>
            <w:rStyle w:val="Hipervnculo"/>
            <w:rFonts w:ascii="Times New Roman" w:hAnsi="Times New Roman"/>
            <w:b/>
            <w:highlight w:val="yellow"/>
            <w:lang w:val="es-ES"/>
          </w:rPr>
          <w:t>Resolución Superintendencia de Industria y Comercio No. 17526 de 11 de abril de 2024</w:t>
        </w:r>
      </w:hyperlink>
      <w:r>
        <w:rPr>
          <w:rFonts w:ascii="Times New Roman" w:hAnsi="Times New Roman"/>
          <w:b/>
          <w:highlight w:val="yellow"/>
          <w:lang w:val="es-ES"/>
        </w:rPr>
        <w:t xml:space="preserve">: </w:t>
      </w:r>
      <w:r w:rsidRPr="001D029D">
        <w:rPr>
          <w:rFonts w:ascii="Times New Roman" w:hAnsi="Times New Roman"/>
          <w:highlight w:val="yellow"/>
        </w:rPr>
        <w:t>Por medio de la cual se fija el valor de la tasa creada mediante el artículo 152 de la Ley 2010 de 2019.</w:t>
      </w:r>
    </w:p>
    <w:p w14:paraId="045A3F06" w14:textId="7B10727E" w:rsidR="009B343D" w:rsidRPr="00EB6F8A" w:rsidRDefault="009B343D" w:rsidP="009B343D">
      <w:pPr>
        <w:numPr>
          <w:ilvl w:val="0"/>
          <w:numId w:val="10"/>
        </w:numPr>
        <w:spacing w:after="0" w:line="240" w:lineRule="auto"/>
        <w:jc w:val="both"/>
        <w:rPr>
          <w:rFonts w:ascii="Times New Roman" w:hAnsi="Times New Roman"/>
          <w:highlight w:val="yellow"/>
        </w:rPr>
      </w:pPr>
      <w:hyperlink r:id="rId187" w:history="1">
        <w:r w:rsidRPr="009B343D">
          <w:rPr>
            <w:rStyle w:val="Hipervnculo"/>
            <w:rFonts w:ascii="Times New Roman" w:hAnsi="Times New Roman"/>
            <w:b/>
            <w:highlight w:val="yellow"/>
          </w:rPr>
          <w:t xml:space="preserve">Resolución </w:t>
        </w:r>
        <w:r w:rsidRPr="009B343D">
          <w:rPr>
            <w:rStyle w:val="Hipervnculo"/>
            <w:rFonts w:ascii="Times New Roman" w:eastAsia="Times New Roman" w:hAnsi="Times New Roman"/>
            <w:b/>
            <w:highlight w:val="yellow"/>
            <w:lang w:eastAsia="es-CO"/>
          </w:rPr>
          <w:t>Superintendencia de Industria y Comercio</w:t>
        </w:r>
        <w:r w:rsidRPr="009B343D">
          <w:rPr>
            <w:rStyle w:val="Hipervnculo"/>
            <w:rFonts w:ascii="Times New Roman" w:hAnsi="Times New Roman"/>
            <w:b/>
            <w:highlight w:val="yellow"/>
          </w:rPr>
          <w:t xml:space="preserve"> No. 632 de 18 de enero de 2023</w:t>
        </w:r>
      </w:hyperlink>
      <w:r w:rsidRPr="001D029D">
        <w:rPr>
          <w:rFonts w:ascii="Times New Roman" w:hAnsi="Times New Roman"/>
          <w:b/>
          <w:highlight w:val="yellow"/>
        </w:rPr>
        <w:t>:</w:t>
      </w:r>
      <w:r w:rsidRPr="00EB6F8A">
        <w:rPr>
          <w:rFonts w:ascii="Times New Roman" w:hAnsi="Times New Roman"/>
          <w:highlight w:val="yellow"/>
        </w:rPr>
        <w:t xml:space="preserve"> </w:t>
      </w:r>
      <w:r w:rsidRPr="001D029D">
        <w:rPr>
          <w:rFonts w:ascii="Times New Roman" w:hAnsi="Times New Roman"/>
          <w:highlight w:val="yellow"/>
        </w:rPr>
        <w:t>Por medio de la cual se fija el valor de la tasa creada mediante el artículo 152 de la Ley 2010 de 2019.</w:t>
      </w:r>
    </w:p>
    <w:p w14:paraId="045A3F07" w14:textId="7C7C13F7" w:rsidR="00EB6F8A" w:rsidRPr="00EB6F8A" w:rsidRDefault="00EB6F8A" w:rsidP="001D029D">
      <w:pPr>
        <w:numPr>
          <w:ilvl w:val="0"/>
          <w:numId w:val="10"/>
        </w:numPr>
        <w:spacing w:after="0" w:line="240" w:lineRule="auto"/>
        <w:jc w:val="both"/>
        <w:rPr>
          <w:rFonts w:ascii="Times New Roman" w:hAnsi="Times New Roman"/>
          <w:highlight w:val="yellow"/>
        </w:rPr>
      </w:pPr>
      <w:hyperlink r:id="rId188" w:history="1">
        <w:r w:rsidRPr="008E721C">
          <w:rPr>
            <w:rStyle w:val="Hipervnculo"/>
            <w:rFonts w:ascii="Times New Roman" w:hAnsi="Times New Roman"/>
            <w:b/>
            <w:highlight w:val="yellow"/>
          </w:rPr>
          <w:t xml:space="preserve">Resolución </w:t>
        </w:r>
        <w:r w:rsidRPr="008E721C">
          <w:rPr>
            <w:rStyle w:val="Hipervnculo"/>
            <w:rFonts w:ascii="Times New Roman" w:eastAsia="Times New Roman" w:hAnsi="Times New Roman"/>
            <w:b/>
            <w:highlight w:val="yellow"/>
            <w:lang w:eastAsia="es-CO"/>
          </w:rPr>
          <w:t>Superintendencia de Industria y Comercio</w:t>
        </w:r>
        <w:r w:rsidRPr="008E721C">
          <w:rPr>
            <w:rStyle w:val="Hipervnculo"/>
            <w:rFonts w:ascii="Times New Roman" w:hAnsi="Times New Roman"/>
            <w:b/>
            <w:highlight w:val="yellow"/>
          </w:rPr>
          <w:t xml:space="preserve"> No. 916 de 14 de enero de 2022</w:t>
        </w:r>
      </w:hyperlink>
      <w:r w:rsidRPr="001D029D">
        <w:rPr>
          <w:rFonts w:ascii="Times New Roman" w:hAnsi="Times New Roman"/>
          <w:b/>
          <w:highlight w:val="yellow"/>
        </w:rPr>
        <w:t>:</w:t>
      </w:r>
      <w:r w:rsidRPr="00EB6F8A">
        <w:rPr>
          <w:rFonts w:ascii="Times New Roman" w:hAnsi="Times New Roman"/>
          <w:highlight w:val="yellow"/>
        </w:rPr>
        <w:t xml:space="preserve"> </w:t>
      </w:r>
      <w:r w:rsidRPr="001D029D">
        <w:rPr>
          <w:rFonts w:ascii="Times New Roman" w:hAnsi="Times New Roman"/>
          <w:highlight w:val="yellow"/>
        </w:rPr>
        <w:t>Por medio de la cual se fija el valor de la tasa creada mediante el artículo 152 de la Ley 2010 de 2019.</w:t>
      </w:r>
    </w:p>
    <w:p w14:paraId="045A3F08" w14:textId="010F6745" w:rsidR="009437A0" w:rsidRPr="009437A0" w:rsidRDefault="009437A0" w:rsidP="001D029D">
      <w:pPr>
        <w:numPr>
          <w:ilvl w:val="0"/>
          <w:numId w:val="10"/>
        </w:numPr>
        <w:spacing w:after="0" w:line="240" w:lineRule="auto"/>
        <w:jc w:val="both"/>
        <w:rPr>
          <w:rFonts w:ascii="Times New Roman" w:hAnsi="Times New Roman"/>
          <w:highlight w:val="yellow"/>
        </w:rPr>
      </w:pPr>
      <w:hyperlink r:id="rId189" w:history="1">
        <w:r w:rsidRPr="005A6DD0">
          <w:rPr>
            <w:rStyle w:val="Hipervnculo"/>
            <w:rFonts w:ascii="Times New Roman" w:hAnsi="Times New Roman"/>
            <w:b/>
            <w:highlight w:val="yellow"/>
          </w:rPr>
          <w:t xml:space="preserve">Resolución </w:t>
        </w:r>
        <w:r w:rsidRPr="005A6DD0">
          <w:rPr>
            <w:rStyle w:val="Hipervnculo"/>
            <w:rFonts w:ascii="Times New Roman" w:eastAsia="Times New Roman" w:hAnsi="Times New Roman"/>
            <w:b/>
            <w:highlight w:val="yellow"/>
            <w:lang w:eastAsia="es-CO"/>
          </w:rPr>
          <w:t>Superintendencia de Industria y Comercio</w:t>
        </w:r>
        <w:r w:rsidRPr="005A6DD0">
          <w:rPr>
            <w:rStyle w:val="Hipervnculo"/>
            <w:rFonts w:ascii="Times New Roman" w:hAnsi="Times New Roman"/>
            <w:b/>
            <w:highlight w:val="yellow"/>
          </w:rPr>
          <w:t xml:space="preserve"> No. </w:t>
        </w:r>
        <w:r w:rsidR="001D029D" w:rsidRPr="005A6DD0">
          <w:rPr>
            <w:rStyle w:val="Hipervnculo"/>
            <w:rFonts w:ascii="Times New Roman" w:hAnsi="Times New Roman"/>
            <w:b/>
            <w:highlight w:val="yellow"/>
          </w:rPr>
          <w:t>2103</w:t>
        </w:r>
        <w:r w:rsidRPr="005A6DD0">
          <w:rPr>
            <w:rStyle w:val="Hipervnculo"/>
            <w:rFonts w:ascii="Times New Roman" w:hAnsi="Times New Roman"/>
            <w:b/>
            <w:highlight w:val="yellow"/>
          </w:rPr>
          <w:t xml:space="preserve"> de 2</w:t>
        </w:r>
        <w:r w:rsidR="001D029D" w:rsidRPr="005A6DD0">
          <w:rPr>
            <w:rStyle w:val="Hipervnculo"/>
            <w:rFonts w:ascii="Times New Roman" w:hAnsi="Times New Roman"/>
            <w:b/>
            <w:highlight w:val="yellow"/>
          </w:rPr>
          <w:t>7</w:t>
        </w:r>
        <w:r w:rsidRPr="005A6DD0">
          <w:rPr>
            <w:rStyle w:val="Hipervnculo"/>
            <w:rFonts w:ascii="Times New Roman" w:hAnsi="Times New Roman"/>
            <w:b/>
            <w:highlight w:val="yellow"/>
          </w:rPr>
          <w:t xml:space="preserve"> de </w:t>
        </w:r>
        <w:r w:rsidR="001D029D" w:rsidRPr="005A6DD0">
          <w:rPr>
            <w:rStyle w:val="Hipervnculo"/>
            <w:rFonts w:ascii="Times New Roman" w:hAnsi="Times New Roman"/>
            <w:b/>
            <w:highlight w:val="yellow"/>
          </w:rPr>
          <w:t xml:space="preserve">enero </w:t>
        </w:r>
        <w:r w:rsidRPr="005A6DD0">
          <w:rPr>
            <w:rStyle w:val="Hipervnculo"/>
            <w:rFonts w:ascii="Times New Roman" w:hAnsi="Times New Roman"/>
            <w:b/>
            <w:highlight w:val="yellow"/>
          </w:rPr>
          <w:t>de 202</w:t>
        </w:r>
        <w:r w:rsidR="001D029D" w:rsidRPr="005A6DD0">
          <w:rPr>
            <w:rStyle w:val="Hipervnculo"/>
            <w:rFonts w:ascii="Times New Roman" w:hAnsi="Times New Roman"/>
            <w:b/>
            <w:highlight w:val="yellow"/>
          </w:rPr>
          <w:t>1</w:t>
        </w:r>
      </w:hyperlink>
      <w:r w:rsidRPr="001D029D">
        <w:rPr>
          <w:rFonts w:ascii="Times New Roman" w:hAnsi="Times New Roman"/>
          <w:b/>
          <w:highlight w:val="yellow"/>
        </w:rPr>
        <w:t>:</w:t>
      </w:r>
      <w:r w:rsidR="001D029D" w:rsidRPr="001D029D">
        <w:rPr>
          <w:highlight w:val="yellow"/>
        </w:rPr>
        <w:t xml:space="preserve"> </w:t>
      </w:r>
      <w:r w:rsidR="001D029D" w:rsidRPr="001D029D">
        <w:rPr>
          <w:rFonts w:ascii="Times New Roman" w:hAnsi="Times New Roman"/>
          <w:highlight w:val="yellow"/>
        </w:rPr>
        <w:t>Por medio de la cual se fija el valor de la tasa creada mediante el artículo 152 de la Ley 2010 de 2019.</w:t>
      </w:r>
    </w:p>
    <w:p w14:paraId="045A3F09" w14:textId="589B8123" w:rsidR="009437A0" w:rsidRDefault="009437A0" w:rsidP="009437A0">
      <w:pPr>
        <w:numPr>
          <w:ilvl w:val="0"/>
          <w:numId w:val="10"/>
        </w:numPr>
        <w:spacing w:after="0" w:line="240" w:lineRule="auto"/>
        <w:jc w:val="both"/>
        <w:rPr>
          <w:rFonts w:ascii="Times New Roman" w:hAnsi="Times New Roman"/>
          <w:highlight w:val="yellow"/>
        </w:rPr>
      </w:pPr>
      <w:hyperlink r:id="rId190" w:history="1">
        <w:r w:rsidRPr="00BF2C08">
          <w:rPr>
            <w:rStyle w:val="Hipervnculo"/>
            <w:rFonts w:ascii="Times New Roman" w:hAnsi="Times New Roman"/>
            <w:b/>
            <w:highlight w:val="yellow"/>
          </w:rPr>
          <w:t xml:space="preserve">Resolución </w:t>
        </w:r>
        <w:r w:rsidRPr="00BF2C08">
          <w:rPr>
            <w:rStyle w:val="Hipervnculo"/>
            <w:rFonts w:ascii="Times New Roman" w:eastAsia="Times New Roman" w:hAnsi="Times New Roman"/>
            <w:b/>
            <w:highlight w:val="yellow"/>
            <w:lang w:eastAsia="es-CO"/>
          </w:rPr>
          <w:t>Superintendencia de Industria y Comercio</w:t>
        </w:r>
        <w:r w:rsidRPr="00BF2C08">
          <w:rPr>
            <w:rStyle w:val="Hipervnculo"/>
            <w:rFonts w:ascii="Times New Roman" w:hAnsi="Times New Roman"/>
            <w:b/>
            <w:highlight w:val="yellow"/>
          </w:rPr>
          <w:t xml:space="preserve"> No. 77896 de 2 de diciembre de 2020</w:t>
        </w:r>
      </w:hyperlink>
      <w:r w:rsidRPr="00C03004">
        <w:rPr>
          <w:rFonts w:ascii="Times New Roman" w:hAnsi="Times New Roman"/>
          <w:b/>
          <w:highlight w:val="yellow"/>
        </w:rPr>
        <w:t>:</w:t>
      </w:r>
      <w:r w:rsidRPr="00C03004">
        <w:rPr>
          <w:rFonts w:ascii="Times New Roman" w:hAnsi="Times New Roman"/>
          <w:highlight w:val="yellow"/>
        </w:rPr>
        <w:t xml:space="preserve"> Por la cual se establecen los ingresos operacionales y los activos que se tendrán en cuenta para informar una operación de integración durante el año 202</w:t>
      </w:r>
      <w:r>
        <w:rPr>
          <w:rFonts w:ascii="Times New Roman" w:hAnsi="Times New Roman"/>
          <w:highlight w:val="yellow"/>
        </w:rPr>
        <w:t>1</w:t>
      </w:r>
      <w:r w:rsidRPr="00C03004">
        <w:rPr>
          <w:rFonts w:ascii="Times New Roman" w:hAnsi="Times New Roman"/>
          <w:highlight w:val="yellow"/>
        </w:rPr>
        <w:t>.</w:t>
      </w:r>
    </w:p>
    <w:p w14:paraId="045A3F0A" w14:textId="77777777" w:rsidR="00040448" w:rsidRDefault="00040448" w:rsidP="00C44821">
      <w:pPr>
        <w:spacing w:before="240" w:after="240" w:line="240" w:lineRule="auto"/>
        <w:jc w:val="both"/>
        <w:rPr>
          <w:rFonts w:ascii="Times New Roman" w:hAnsi="Times New Roman"/>
        </w:rPr>
      </w:pPr>
      <w:r w:rsidRPr="00E22473">
        <w:rPr>
          <w:rFonts w:ascii="Times New Roman" w:hAnsi="Times New Roman"/>
          <w:b/>
          <w:bCs/>
        </w:rPr>
        <w:t>ARTÍCULO 153.</w:t>
      </w:r>
      <w:r w:rsidR="00E22473">
        <w:rPr>
          <w:rFonts w:ascii="Times New Roman" w:hAnsi="Times New Roman"/>
          <w:b/>
          <w:bCs/>
        </w:rPr>
        <w:t xml:space="preserve"> </w:t>
      </w:r>
      <w:r w:rsidR="00A5123F" w:rsidRPr="00A5123F">
        <w:rPr>
          <w:rFonts w:ascii="Times New Roman" w:hAnsi="Times New Roman"/>
          <w:b/>
          <w:i/>
        </w:rPr>
        <w:t>{</w:t>
      </w:r>
      <w:r w:rsidRPr="00A5123F">
        <w:rPr>
          <w:rFonts w:ascii="Times New Roman" w:hAnsi="Times New Roman"/>
          <w:b/>
          <w:i/>
        </w:rPr>
        <w:t>Los funcionarios de la Auditoría General de la República tendrán derecho a que se les reconozca y pague la bonificación especial denominada quinquenio, en las mismas condiciones en que se liquida y paga a los funcionarios de la Contraloría General de la República</w:t>
      </w:r>
      <w:r w:rsidR="00A5123F" w:rsidRPr="00A5123F">
        <w:rPr>
          <w:rFonts w:ascii="Times New Roman" w:hAnsi="Times New Roman"/>
          <w:b/>
          <w:i/>
        </w:rPr>
        <w:t>}</w:t>
      </w:r>
      <w:r w:rsidRPr="00F53530">
        <w:rPr>
          <w:rFonts w:ascii="Times New Roman" w:hAnsi="Times New Roman"/>
        </w:rPr>
        <w:t>.</w:t>
      </w:r>
    </w:p>
    <w:p w14:paraId="045A3F0B" w14:textId="2227CA4B" w:rsidR="00A5123F" w:rsidRPr="00B15A0A" w:rsidRDefault="00A5123F" w:rsidP="00B15A0A">
      <w:pPr>
        <w:numPr>
          <w:ilvl w:val="0"/>
          <w:numId w:val="1"/>
        </w:numPr>
        <w:spacing w:before="240" w:after="240" w:line="240" w:lineRule="auto"/>
        <w:jc w:val="both"/>
        <w:rPr>
          <w:rFonts w:ascii="Times New Roman" w:hAnsi="Times New Roman"/>
          <w:highlight w:val="cyan"/>
        </w:rPr>
      </w:pPr>
      <w:r w:rsidRPr="00B15A0A">
        <w:rPr>
          <w:rFonts w:ascii="Times New Roman" w:hAnsi="Times New Roman"/>
          <w:highlight w:val="cyan"/>
        </w:rPr>
        <w:t xml:space="preserve">Artículo 153 declarado INEXEQUIBLE por la Corte Constitucional mediante </w:t>
      </w:r>
      <w:hyperlink r:id="rId191" w:history="1">
        <w:r w:rsidRPr="00B15A0A">
          <w:rPr>
            <w:rStyle w:val="Hipervnculo"/>
            <w:rFonts w:ascii="Times New Roman" w:hAnsi="Times New Roman"/>
            <w:highlight w:val="cyan"/>
          </w:rPr>
          <w:t>Sentencia C-507 de 3 de diciembre de 2020</w:t>
        </w:r>
      </w:hyperlink>
      <w:r w:rsidRPr="00B15A0A">
        <w:rPr>
          <w:rFonts w:ascii="Times New Roman" w:hAnsi="Times New Roman"/>
          <w:highlight w:val="cyan"/>
        </w:rPr>
        <w:t xml:space="preserve">, Magistrado Ponente Dr. </w:t>
      </w:r>
      <w:r w:rsidR="00B15A0A" w:rsidRPr="00B15A0A">
        <w:rPr>
          <w:rFonts w:ascii="Times New Roman" w:hAnsi="Times New Roman"/>
          <w:highlight w:val="cyan"/>
        </w:rPr>
        <w:t>Jorge Enrique Ibánez.</w:t>
      </w:r>
    </w:p>
    <w:p w14:paraId="045A3F0C" w14:textId="29302AD3" w:rsidR="00040448" w:rsidRPr="00F53530" w:rsidRDefault="00040448" w:rsidP="00C44821">
      <w:pPr>
        <w:spacing w:before="240" w:after="240" w:line="240" w:lineRule="auto"/>
        <w:jc w:val="both"/>
        <w:rPr>
          <w:rFonts w:ascii="Times New Roman" w:hAnsi="Times New Roman"/>
        </w:rPr>
      </w:pPr>
      <w:r w:rsidRPr="00E22473">
        <w:rPr>
          <w:rFonts w:ascii="Times New Roman" w:hAnsi="Times New Roman"/>
          <w:b/>
          <w:bCs/>
        </w:rPr>
        <w:t>ARTÍCULO 154.</w:t>
      </w:r>
      <w:r w:rsidR="00E22473">
        <w:rPr>
          <w:rFonts w:ascii="Times New Roman" w:hAnsi="Times New Roman"/>
          <w:b/>
          <w:bCs/>
        </w:rPr>
        <w:t xml:space="preserve"> </w:t>
      </w:r>
      <w:r w:rsidRPr="00F53530">
        <w:rPr>
          <w:rFonts w:ascii="Times New Roman" w:hAnsi="Times New Roman"/>
        </w:rPr>
        <w:t xml:space="preserve">Adiciónese un parágrafo y modifíquese el parágrafo transitorio del artículo 100 de la </w:t>
      </w:r>
      <w:hyperlink r:id="rId192" w:history="1">
        <w:r w:rsidRPr="00875677">
          <w:rPr>
            <w:rStyle w:val="Hipervnculo"/>
            <w:rFonts w:ascii="Times New Roman" w:hAnsi="Times New Roman"/>
          </w:rPr>
          <w:t>Ley 1438 de 2011</w:t>
        </w:r>
      </w:hyperlink>
      <w:r w:rsidRPr="00F53530">
        <w:rPr>
          <w:rFonts w:ascii="Times New Roman" w:hAnsi="Times New Roman"/>
        </w:rPr>
        <w:t>, los cuales quedarán así:</w:t>
      </w:r>
    </w:p>
    <w:p w14:paraId="045A3F0D" w14:textId="77777777"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t>PARÁGRAFO.</w:t>
      </w:r>
      <w:r w:rsidRPr="00F53530">
        <w:rPr>
          <w:rFonts w:ascii="Times New Roman" w:hAnsi="Times New Roman"/>
          <w:i/>
        </w:rPr>
        <w:t xml:space="preserve"> </w:t>
      </w:r>
      <w:r w:rsidR="00040448" w:rsidRPr="00F53530">
        <w:rPr>
          <w:rFonts w:ascii="Times New Roman" w:hAnsi="Times New Roman"/>
          <w:i/>
        </w:rPr>
        <w:t>Las Instituciones Prestadoras de Servicios de Salud que se encuentren en proceso de acreditación ante la entidad competente, podrán acceder a los recursos recaudados por la estampilla pro-hospital universitario, hasta el 31 de diciembre de 2021.</w:t>
      </w:r>
    </w:p>
    <w:p w14:paraId="045A3F0E" w14:textId="17A2B763" w:rsidR="00040448" w:rsidRPr="00F53530" w:rsidRDefault="00280B8A" w:rsidP="00C44821">
      <w:pPr>
        <w:spacing w:before="240" w:after="240" w:line="240" w:lineRule="auto"/>
        <w:jc w:val="both"/>
        <w:rPr>
          <w:rFonts w:ascii="Times New Roman" w:hAnsi="Times New Roman"/>
          <w:i/>
        </w:rPr>
      </w:pPr>
      <w:r w:rsidRPr="009A77AA">
        <w:rPr>
          <w:rFonts w:ascii="Times New Roman" w:hAnsi="Times New Roman"/>
          <w:b/>
          <w:bCs/>
          <w:i/>
        </w:rPr>
        <w:lastRenderedPageBreak/>
        <w:t>PARÁGRAFO TRANSITORIO.</w:t>
      </w:r>
      <w:r w:rsidRPr="00F53530">
        <w:rPr>
          <w:rFonts w:ascii="Times New Roman" w:hAnsi="Times New Roman"/>
          <w:i/>
        </w:rPr>
        <w:t xml:space="preserve"> </w:t>
      </w:r>
      <w:r w:rsidR="00040448" w:rsidRPr="00F53530">
        <w:rPr>
          <w:rFonts w:ascii="Times New Roman" w:hAnsi="Times New Roman"/>
          <w:i/>
        </w:rPr>
        <w:t xml:space="preserve">A partir del 1 de enero del año 2021 solo podrán denominarse Hospitales Universitarios a aquellas instituciones que cumplan con los requisitos definidos en el artículo 100 de la </w:t>
      </w:r>
      <w:hyperlink r:id="rId193" w:history="1">
        <w:r w:rsidR="00040448" w:rsidRPr="00875677">
          <w:rPr>
            <w:rStyle w:val="Hipervnculo"/>
            <w:rFonts w:ascii="Times New Roman" w:hAnsi="Times New Roman"/>
            <w:i/>
          </w:rPr>
          <w:t>Ley 1438 de 2011</w:t>
        </w:r>
      </w:hyperlink>
      <w:r w:rsidR="00040448" w:rsidRPr="00F53530">
        <w:rPr>
          <w:rFonts w:ascii="Times New Roman" w:hAnsi="Times New Roman"/>
          <w:i/>
        </w:rPr>
        <w:t>.</w:t>
      </w:r>
    </w:p>
    <w:p w14:paraId="045A3F0F" w14:textId="77777777" w:rsidR="00040448" w:rsidRPr="00F53530" w:rsidRDefault="00040448" w:rsidP="00C44821">
      <w:pPr>
        <w:spacing w:before="240" w:after="240" w:line="240" w:lineRule="auto"/>
        <w:jc w:val="both"/>
        <w:rPr>
          <w:rFonts w:ascii="Times New Roman" w:hAnsi="Times New Roman"/>
        </w:rPr>
      </w:pPr>
      <w:r w:rsidRPr="00277E0E">
        <w:rPr>
          <w:rFonts w:ascii="Times New Roman" w:hAnsi="Times New Roman"/>
          <w:b/>
          <w:bCs/>
        </w:rPr>
        <w:t>ARTÍCULO 155. CONTRAPRESTACIÓN POR USO COMERCIAL Y TURÍSTICO DE PLAYAS Y TERRENOS DE BAJAMAR.</w:t>
      </w:r>
      <w:r w:rsidR="00277E0E">
        <w:rPr>
          <w:rFonts w:ascii="Times New Roman" w:hAnsi="Times New Roman"/>
          <w:b/>
          <w:bCs/>
        </w:rPr>
        <w:t xml:space="preserve"> </w:t>
      </w:r>
      <w:r w:rsidRPr="00F53530">
        <w:rPr>
          <w:rFonts w:ascii="Times New Roman" w:hAnsi="Times New Roman"/>
        </w:rPr>
        <w:t>Las personas jurídicas que posean permisos, licencias o concesiones temporales para el uso, goce y disfrute exclusivo con fines comerciales y turísticos de playas y terrenos de baja mar, deberán pagar una contraprestación por el aprovechamiento de dichos terrenos de dominio público. Esta será definida por el Gobierno nacional en función del número de visitantes promedio anual, para el primer año se calculará sobre la base de una proyección de visitantes y se ajustará anualmente según el número de visitantes del periodo anterior. El cálculo será realizado por el Ministerio de Comercio, Industria y Turismo.</w:t>
      </w:r>
    </w:p>
    <w:p w14:paraId="045A3F10"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El recaudo mencionado en el inciso anterior estará a cargo de la Dirección General Marítima (Dimar), quien deberá distribuirlo con el municipio en el cual se encuentren las áreas de uso comercial o turístico por las cuales se cobra la contraprestación. Dicho recaudo se distribuirá en una proporción de sesenta por ciento (60%) para los municipios y cuarenta por ciento (40%) para la Dimar.</w:t>
      </w:r>
    </w:p>
    <w:p w14:paraId="045A3F11"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Los recursos recaudados por concepto de la contraprestación del uso comercial y turístico de playas y terrenos de baja mar deberán ser invertidos exclusivamente en proyectos de recuperación y mantenimiento de playas, ecosistemas marinos y de manglares, fortaleciendo el desarrollo económico y turístico en armonía con la protección de los recursos naturales.</w:t>
      </w:r>
    </w:p>
    <w:p w14:paraId="045A3F12" w14:textId="77777777" w:rsidR="00040448" w:rsidRPr="00F53530" w:rsidRDefault="00280B8A" w:rsidP="00C44821">
      <w:pPr>
        <w:spacing w:before="240" w:after="240" w:line="240" w:lineRule="auto"/>
        <w:jc w:val="both"/>
        <w:rPr>
          <w:rFonts w:ascii="Times New Roman" w:hAnsi="Times New Roman"/>
        </w:rPr>
      </w:pPr>
      <w:r w:rsidRPr="00277E0E">
        <w:rPr>
          <w:rFonts w:ascii="Times New Roman" w:hAnsi="Times New Roman"/>
          <w:b/>
          <w:bCs/>
        </w:rPr>
        <w:t>PARÁGRAFO</w:t>
      </w:r>
      <w:r w:rsidRPr="00F53530">
        <w:rPr>
          <w:rFonts w:ascii="Times New Roman" w:hAnsi="Times New Roman"/>
        </w:rPr>
        <w:t xml:space="preserve">. </w:t>
      </w:r>
      <w:r w:rsidR="00040448" w:rsidRPr="00F53530">
        <w:rPr>
          <w:rFonts w:ascii="Times New Roman" w:hAnsi="Times New Roman"/>
        </w:rPr>
        <w:t>Por la inexistencia de municipios en el departamento de San Andrés, Providencia y Santa Catalina, la Dimar liquidará el recaudo correspondiente a favor de dicho departamento.</w:t>
      </w:r>
    </w:p>
    <w:p w14:paraId="045A3F13" w14:textId="77777777" w:rsidR="00040448" w:rsidRPr="00F53530" w:rsidRDefault="00040448" w:rsidP="00C44821">
      <w:pPr>
        <w:spacing w:before="240" w:after="240" w:line="240" w:lineRule="auto"/>
        <w:jc w:val="both"/>
        <w:rPr>
          <w:rFonts w:ascii="Times New Roman" w:hAnsi="Times New Roman"/>
        </w:rPr>
      </w:pPr>
      <w:r w:rsidRPr="00277E0E">
        <w:rPr>
          <w:rFonts w:ascii="Times New Roman" w:hAnsi="Times New Roman"/>
          <w:b/>
          <w:bCs/>
        </w:rPr>
        <w:t>ARTÍCULO 156.</w:t>
      </w:r>
      <w:r w:rsidR="00277E0E">
        <w:rPr>
          <w:rFonts w:ascii="Times New Roman" w:hAnsi="Times New Roman"/>
          <w:b/>
          <w:bCs/>
        </w:rPr>
        <w:t xml:space="preserve"> </w:t>
      </w:r>
      <w:r w:rsidRPr="00F53530">
        <w:rPr>
          <w:rFonts w:ascii="Times New Roman" w:hAnsi="Times New Roman"/>
        </w:rPr>
        <w:t>Facúltese al Gobierno nacional para conceder a los entes territoriales beneficios temporales, de acuerdo con su categoría, exonerándoles entre un cincuenta (50) y un cien por ciento (100%) en el pago de los intereses, causados por obligaciones derivadas de transferencias de subsidios, contratos o convenios interadministrativos.</w:t>
      </w:r>
    </w:p>
    <w:p w14:paraId="045A3F14" w14:textId="77777777" w:rsidR="001414E9" w:rsidRPr="00F53530" w:rsidRDefault="00040448" w:rsidP="00C44821">
      <w:pPr>
        <w:spacing w:before="240" w:after="240" w:line="240" w:lineRule="auto"/>
        <w:jc w:val="both"/>
        <w:rPr>
          <w:rFonts w:ascii="Times New Roman" w:hAnsi="Times New Roman"/>
        </w:rPr>
      </w:pPr>
      <w:r w:rsidRPr="00F53530">
        <w:rPr>
          <w:rFonts w:ascii="Times New Roman" w:hAnsi="Times New Roman"/>
        </w:rPr>
        <w:t>Los beneficios adoptados se concederán a los entes territoriales conforme a su categoría:</w:t>
      </w:r>
    </w:p>
    <w:tbl>
      <w:tblPr>
        <w:tblW w:w="7230" w:type="dxa"/>
        <w:jc w:val="center"/>
        <w:tblCellMar>
          <w:left w:w="70" w:type="dxa"/>
          <w:right w:w="70" w:type="dxa"/>
        </w:tblCellMar>
        <w:tblLook w:val="04A0" w:firstRow="1" w:lastRow="0" w:firstColumn="1" w:lastColumn="0" w:noHBand="0" w:noVBand="1"/>
      </w:tblPr>
      <w:tblGrid>
        <w:gridCol w:w="4111"/>
        <w:gridCol w:w="3119"/>
      </w:tblGrid>
      <w:tr w:rsidR="001414E9" w:rsidRPr="00F53530" w14:paraId="045A3F16" w14:textId="77777777" w:rsidTr="00C808E8">
        <w:trPr>
          <w:trHeight w:val="300"/>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45A3F15" w14:textId="77777777" w:rsidR="001414E9" w:rsidRPr="00F53530" w:rsidRDefault="001414E9" w:rsidP="00C44821">
            <w:pPr>
              <w:spacing w:after="0" w:line="240" w:lineRule="auto"/>
              <w:jc w:val="center"/>
              <w:rPr>
                <w:rFonts w:ascii="Times New Roman" w:eastAsia="Times New Roman" w:hAnsi="Times New Roman"/>
                <w:b/>
                <w:bCs/>
                <w:color w:val="231F20"/>
                <w:lang w:eastAsia="es-CO"/>
              </w:rPr>
            </w:pPr>
            <w:r w:rsidRPr="00F53530">
              <w:rPr>
                <w:rFonts w:ascii="Times New Roman" w:eastAsia="Times New Roman" w:hAnsi="Times New Roman"/>
                <w:b/>
                <w:bCs/>
                <w:color w:val="231F20"/>
                <w:lang w:eastAsia="es-CO"/>
              </w:rPr>
              <w:t>Municipios</w:t>
            </w:r>
          </w:p>
        </w:tc>
      </w:tr>
      <w:tr w:rsidR="001414E9" w:rsidRPr="00F53530" w14:paraId="045A3F19" w14:textId="77777777" w:rsidTr="00C808E8">
        <w:trPr>
          <w:trHeight w:val="300"/>
          <w:tblHeader/>
          <w:jc w:val="center"/>
        </w:trPr>
        <w:tc>
          <w:tcPr>
            <w:tcW w:w="4111" w:type="dxa"/>
            <w:tcBorders>
              <w:top w:val="nil"/>
              <w:left w:val="single" w:sz="4" w:space="0" w:color="auto"/>
              <w:bottom w:val="single" w:sz="4" w:space="0" w:color="auto"/>
              <w:right w:val="single" w:sz="4" w:space="0" w:color="auto"/>
            </w:tcBorders>
            <w:shd w:val="clear" w:color="auto" w:fill="BFBFBF"/>
            <w:vAlign w:val="center"/>
            <w:hideMark/>
          </w:tcPr>
          <w:p w14:paraId="045A3F17" w14:textId="77777777" w:rsidR="001414E9" w:rsidRPr="00F53530" w:rsidRDefault="001414E9" w:rsidP="00C44821">
            <w:pPr>
              <w:spacing w:after="0" w:line="240" w:lineRule="auto"/>
              <w:jc w:val="center"/>
              <w:rPr>
                <w:rFonts w:ascii="Times New Roman" w:eastAsia="Times New Roman" w:hAnsi="Times New Roman"/>
                <w:b/>
                <w:bCs/>
                <w:color w:val="231F20"/>
                <w:lang w:eastAsia="es-CO"/>
              </w:rPr>
            </w:pPr>
            <w:r w:rsidRPr="00F53530">
              <w:rPr>
                <w:rFonts w:ascii="Times New Roman" w:eastAsia="Times New Roman" w:hAnsi="Times New Roman"/>
                <w:b/>
                <w:bCs/>
                <w:color w:val="231F20"/>
                <w:lang w:eastAsia="es-CO"/>
              </w:rPr>
              <w:t>Categoría</w:t>
            </w:r>
          </w:p>
        </w:tc>
        <w:tc>
          <w:tcPr>
            <w:tcW w:w="3119" w:type="dxa"/>
            <w:tcBorders>
              <w:top w:val="nil"/>
              <w:left w:val="nil"/>
              <w:bottom w:val="single" w:sz="4" w:space="0" w:color="auto"/>
              <w:right w:val="single" w:sz="4" w:space="0" w:color="auto"/>
            </w:tcBorders>
            <w:shd w:val="clear" w:color="auto" w:fill="BFBFBF"/>
            <w:vAlign w:val="center"/>
            <w:hideMark/>
          </w:tcPr>
          <w:p w14:paraId="045A3F18" w14:textId="77777777" w:rsidR="001414E9" w:rsidRPr="00F53530" w:rsidRDefault="001414E9" w:rsidP="00C44821">
            <w:pPr>
              <w:spacing w:after="0" w:line="240" w:lineRule="auto"/>
              <w:jc w:val="center"/>
              <w:rPr>
                <w:rFonts w:ascii="Times New Roman" w:eastAsia="Times New Roman" w:hAnsi="Times New Roman"/>
                <w:b/>
                <w:bCs/>
                <w:color w:val="231F20"/>
                <w:lang w:eastAsia="es-CO"/>
              </w:rPr>
            </w:pPr>
            <w:r w:rsidRPr="00F53530">
              <w:rPr>
                <w:rFonts w:ascii="Times New Roman" w:eastAsia="Times New Roman" w:hAnsi="Times New Roman"/>
                <w:b/>
                <w:bCs/>
                <w:color w:val="231F20"/>
                <w:lang w:eastAsia="es-CO"/>
              </w:rPr>
              <w:t>Intereses</w:t>
            </w:r>
          </w:p>
        </w:tc>
      </w:tr>
      <w:tr w:rsidR="001414E9" w:rsidRPr="00F53530" w14:paraId="045A3F1C" w14:textId="77777777" w:rsidTr="00277E0E">
        <w:trPr>
          <w:trHeight w:val="300"/>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45A3F1A"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Sexta (6a)</w:t>
            </w:r>
          </w:p>
        </w:tc>
        <w:tc>
          <w:tcPr>
            <w:tcW w:w="3119" w:type="dxa"/>
            <w:tcBorders>
              <w:top w:val="nil"/>
              <w:left w:val="nil"/>
              <w:bottom w:val="single" w:sz="4" w:space="0" w:color="auto"/>
              <w:right w:val="single" w:sz="4" w:space="0" w:color="auto"/>
            </w:tcBorders>
            <w:shd w:val="clear" w:color="auto" w:fill="auto"/>
            <w:vAlign w:val="center"/>
            <w:hideMark/>
          </w:tcPr>
          <w:p w14:paraId="045A3F1B"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100%</w:t>
            </w:r>
          </w:p>
        </w:tc>
      </w:tr>
      <w:tr w:rsidR="001414E9" w:rsidRPr="00F53530" w14:paraId="045A3F1F" w14:textId="77777777" w:rsidTr="00277E0E">
        <w:trPr>
          <w:trHeight w:val="300"/>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45A3F1D"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Quinta (5a)</w:t>
            </w:r>
          </w:p>
        </w:tc>
        <w:tc>
          <w:tcPr>
            <w:tcW w:w="3119" w:type="dxa"/>
            <w:tcBorders>
              <w:top w:val="nil"/>
              <w:left w:val="nil"/>
              <w:bottom w:val="single" w:sz="4" w:space="0" w:color="auto"/>
              <w:right w:val="single" w:sz="4" w:space="0" w:color="auto"/>
            </w:tcBorders>
            <w:shd w:val="clear" w:color="auto" w:fill="auto"/>
            <w:vAlign w:val="center"/>
            <w:hideMark/>
          </w:tcPr>
          <w:p w14:paraId="045A3F1E"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90%</w:t>
            </w:r>
          </w:p>
        </w:tc>
      </w:tr>
      <w:tr w:rsidR="001414E9" w:rsidRPr="00F53530" w14:paraId="045A3F22" w14:textId="77777777" w:rsidTr="00277E0E">
        <w:trPr>
          <w:trHeight w:val="300"/>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45A3F20"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Cuarta (4a)</w:t>
            </w:r>
          </w:p>
        </w:tc>
        <w:tc>
          <w:tcPr>
            <w:tcW w:w="3119" w:type="dxa"/>
            <w:tcBorders>
              <w:top w:val="nil"/>
              <w:left w:val="nil"/>
              <w:bottom w:val="single" w:sz="4" w:space="0" w:color="auto"/>
              <w:right w:val="single" w:sz="4" w:space="0" w:color="auto"/>
            </w:tcBorders>
            <w:shd w:val="clear" w:color="auto" w:fill="auto"/>
            <w:vAlign w:val="center"/>
            <w:hideMark/>
          </w:tcPr>
          <w:p w14:paraId="045A3F21"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80%</w:t>
            </w:r>
          </w:p>
        </w:tc>
      </w:tr>
      <w:tr w:rsidR="001414E9" w:rsidRPr="00F53530" w14:paraId="045A3F25" w14:textId="77777777" w:rsidTr="00277E0E">
        <w:trPr>
          <w:trHeight w:val="300"/>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45A3F23"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Tercera (3a)</w:t>
            </w:r>
          </w:p>
        </w:tc>
        <w:tc>
          <w:tcPr>
            <w:tcW w:w="3119" w:type="dxa"/>
            <w:tcBorders>
              <w:top w:val="nil"/>
              <w:left w:val="nil"/>
              <w:bottom w:val="single" w:sz="4" w:space="0" w:color="auto"/>
              <w:right w:val="single" w:sz="4" w:space="0" w:color="auto"/>
            </w:tcBorders>
            <w:shd w:val="clear" w:color="auto" w:fill="auto"/>
            <w:vAlign w:val="center"/>
            <w:hideMark/>
          </w:tcPr>
          <w:p w14:paraId="045A3F24"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70%</w:t>
            </w:r>
          </w:p>
        </w:tc>
      </w:tr>
      <w:tr w:rsidR="001414E9" w:rsidRPr="00F53530" w14:paraId="045A3F28" w14:textId="77777777" w:rsidTr="00277E0E">
        <w:trPr>
          <w:trHeight w:val="300"/>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45A3F26"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Segunda (2a)</w:t>
            </w:r>
          </w:p>
        </w:tc>
        <w:tc>
          <w:tcPr>
            <w:tcW w:w="3119" w:type="dxa"/>
            <w:tcBorders>
              <w:top w:val="nil"/>
              <w:left w:val="nil"/>
              <w:bottom w:val="single" w:sz="4" w:space="0" w:color="auto"/>
              <w:right w:val="single" w:sz="4" w:space="0" w:color="auto"/>
            </w:tcBorders>
            <w:shd w:val="clear" w:color="auto" w:fill="auto"/>
            <w:vAlign w:val="center"/>
            <w:hideMark/>
          </w:tcPr>
          <w:p w14:paraId="045A3F27"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60%</w:t>
            </w:r>
          </w:p>
        </w:tc>
      </w:tr>
      <w:tr w:rsidR="001414E9" w:rsidRPr="00F53530" w14:paraId="045A3F2B" w14:textId="77777777" w:rsidTr="00277E0E">
        <w:trPr>
          <w:trHeight w:val="300"/>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45A3F29"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Primera (1a) y Especial</w:t>
            </w:r>
          </w:p>
        </w:tc>
        <w:tc>
          <w:tcPr>
            <w:tcW w:w="3119" w:type="dxa"/>
            <w:tcBorders>
              <w:top w:val="nil"/>
              <w:left w:val="nil"/>
              <w:bottom w:val="single" w:sz="4" w:space="0" w:color="auto"/>
              <w:right w:val="single" w:sz="4" w:space="0" w:color="auto"/>
            </w:tcBorders>
            <w:shd w:val="clear" w:color="auto" w:fill="auto"/>
            <w:vAlign w:val="center"/>
            <w:hideMark/>
          </w:tcPr>
          <w:p w14:paraId="045A3F2A"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50%</w:t>
            </w:r>
          </w:p>
        </w:tc>
      </w:tr>
    </w:tbl>
    <w:p w14:paraId="045A3F2C" w14:textId="77777777" w:rsidR="001414E9" w:rsidRPr="00F53530" w:rsidRDefault="001414E9" w:rsidP="00C44821">
      <w:pPr>
        <w:spacing w:before="240" w:after="240" w:line="240" w:lineRule="auto"/>
        <w:jc w:val="both"/>
        <w:rPr>
          <w:rFonts w:ascii="Times New Roman" w:hAnsi="Times New Roman"/>
          <w:b/>
          <w:color w:val="FF0000"/>
        </w:rPr>
      </w:pPr>
    </w:p>
    <w:tbl>
      <w:tblPr>
        <w:tblW w:w="7230" w:type="dxa"/>
        <w:jc w:val="center"/>
        <w:tblCellMar>
          <w:left w:w="70" w:type="dxa"/>
          <w:right w:w="70" w:type="dxa"/>
        </w:tblCellMar>
        <w:tblLook w:val="04A0" w:firstRow="1" w:lastRow="0" w:firstColumn="1" w:lastColumn="0" w:noHBand="0" w:noVBand="1"/>
      </w:tblPr>
      <w:tblGrid>
        <w:gridCol w:w="4111"/>
        <w:gridCol w:w="3119"/>
      </w:tblGrid>
      <w:tr w:rsidR="001414E9" w:rsidRPr="00F53530" w14:paraId="045A3F2E" w14:textId="77777777" w:rsidTr="00C808E8">
        <w:trPr>
          <w:trHeight w:val="300"/>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45A3F2D" w14:textId="77777777" w:rsidR="001414E9" w:rsidRPr="00F53530" w:rsidRDefault="001414E9" w:rsidP="00C44821">
            <w:pPr>
              <w:spacing w:after="0" w:line="240" w:lineRule="auto"/>
              <w:jc w:val="center"/>
              <w:rPr>
                <w:rFonts w:ascii="Times New Roman" w:eastAsia="Times New Roman" w:hAnsi="Times New Roman"/>
                <w:b/>
                <w:bCs/>
                <w:color w:val="231F20"/>
                <w:lang w:eastAsia="es-CO"/>
              </w:rPr>
            </w:pPr>
            <w:r w:rsidRPr="00F53530">
              <w:rPr>
                <w:rFonts w:ascii="Times New Roman" w:eastAsia="Times New Roman" w:hAnsi="Times New Roman"/>
                <w:b/>
                <w:bCs/>
                <w:color w:val="231F20"/>
                <w:lang w:eastAsia="es-CO"/>
              </w:rPr>
              <w:t>Departamentos</w:t>
            </w:r>
          </w:p>
        </w:tc>
      </w:tr>
      <w:tr w:rsidR="001414E9" w:rsidRPr="00F53530" w14:paraId="045A3F31" w14:textId="77777777" w:rsidTr="00C808E8">
        <w:trPr>
          <w:trHeight w:val="300"/>
          <w:tblHeader/>
          <w:jc w:val="center"/>
        </w:trPr>
        <w:tc>
          <w:tcPr>
            <w:tcW w:w="4111" w:type="dxa"/>
            <w:tcBorders>
              <w:top w:val="nil"/>
              <w:left w:val="single" w:sz="4" w:space="0" w:color="auto"/>
              <w:bottom w:val="single" w:sz="4" w:space="0" w:color="auto"/>
              <w:right w:val="single" w:sz="4" w:space="0" w:color="auto"/>
            </w:tcBorders>
            <w:shd w:val="clear" w:color="auto" w:fill="BFBFBF"/>
            <w:vAlign w:val="center"/>
            <w:hideMark/>
          </w:tcPr>
          <w:p w14:paraId="045A3F2F" w14:textId="77777777" w:rsidR="001414E9" w:rsidRPr="00F53530" w:rsidRDefault="001414E9" w:rsidP="00C44821">
            <w:pPr>
              <w:spacing w:after="0" w:line="240" w:lineRule="auto"/>
              <w:jc w:val="center"/>
              <w:rPr>
                <w:rFonts w:ascii="Times New Roman" w:eastAsia="Times New Roman" w:hAnsi="Times New Roman"/>
                <w:b/>
                <w:bCs/>
                <w:color w:val="231F20"/>
                <w:lang w:eastAsia="es-CO"/>
              </w:rPr>
            </w:pPr>
            <w:r w:rsidRPr="00F53530">
              <w:rPr>
                <w:rFonts w:ascii="Times New Roman" w:eastAsia="Times New Roman" w:hAnsi="Times New Roman"/>
                <w:b/>
                <w:bCs/>
                <w:color w:val="231F20"/>
                <w:lang w:eastAsia="es-CO"/>
              </w:rPr>
              <w:t>Categoría</w:t>
            </w:r>
          </w:p>
        </w:tc>
        <w:tc>
          <w:tcPr>
            <w:tcW w:w="3119" w:type="dxa"/>
            <w:tcBorders>
              <w:top w:val="nil"/>
              <w:left w:val="nil"/>
              <w:bottom w:val="single" w:sz="4" w:space="0" w:color="auto"/>
              <w:right w:val="single" w:sz="4" w:space="0" w:color="auto"/>
            </w:tcBorders>
            <w:shd w:val="clear" w:color="auto" w:fill="BFBFBF"/>
            <w:vAlign w:val="center"/>
            <w:hideMark/>
          </w:tcPr>
          <w:p w14:paraId="045A3F30" w14:textId="77777777" w:rsidR="001414E9" w:rsidRPr="00F53530" w:rsidRDefault="001414E9" w:rsidP="00C44821">
            <w:pPr>
              <w:spacing w:after="0" w:line="240" w:lineRule="auto"/>
              <w:jc w:val="center"/>
              <w:rPr>
                <w:rFonts w:ascii="Times New Roman" w:eastAsia="Times New Roman" w:hAnsi="Times New Roman"/>
                <w:b/>
                <w:bCs/>
                <w:color w:val="231F20"/>
                <w:lang w:eastAsia="es-CO"/>
              </w:rPr>
            </w:pPr>
            <w:r w:rsidRPr="00F53530">
              <w:rPr>
                <w:rFonts w:ascii="Times New Roman" w:eastAsia="Times New Roman" w:hAnsi="Times New Roman"/>
                <w:b/>
                <w:bCs/>
                <w:color w:val="231F20"/>
                <w:lang w:eastAsia="es-CO"/>
              </w:rPr>
              <w:t>Intereses</w:t>
            </w:r>
          </w:p>
        </w:tc>
      </w:tr>
      <w:tr w:rsidR="001414E9" w:rsidRPr="00F53530" w14:paraId="045A3F34" w14:textId="77777777" w:rsidTr="00277E0E">
        <w:trPr>
          <w:trHeight w:val="300"/>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45A3F32"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Cuarta (4a)</w:t>
            </w:r>
          </w:p>
        </w:tc>
        <w:tc>
          <w:tcPr>
            <w:tcW w:w="3119" w:type="dxa"/>
            <w:tcBorders>
              <w:top w:val="nil"/>
              <w:left w:val="nil"/>
              <w:bottom w:val="single" w:sz="4" w:space="0" w:color="auto"/>
              <w:right w:val="single" w:sz="4" w:space="0" w:color="auto"/>
            </w:tcBorders>
            <w:shd w:val="clear" w:color="auto" w:fill="auto"/>
            <w:vAlign w:val="center"/>
            <w:hideMark/>
          </w:tcPr>
          <w:p w14:paraId="045A3F33"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80%</w:t>
            </w:r>
          </w:p>
        </w:tc>
      </w:tr>
      <w:tr w:rsidR="001414E9" w:rsidRPr="00F53530" w14:paraId="045A3F37" w14:textId="77777777" w:rsidTr="00277E0E">
        <w:trPr>
          <w:trHeight w:val="300"/>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45A3F35"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Tercera (3a)</w:t>
            </w:r>
          </w:p>
        </w:tc>
        <w:tc>
          <w:tcPr>
            <w:tcW w:w="3119" w:type="dxa"/>
            <w:tcBorders>
              <w:top w:val="nil"/>
              <w:left w:val="nil"/>
              <w:bottom w:val="single" w:sz="4" w:space="0" w:color="auto"/>
              <w:right w:val="single" w:sz="4" w:space="0" w:color="auto"/>
            </w:tcBorders>
            <w:shd w:val="clear" w:color="auto" w:fill="auto"/>
            <w:vAlign w:val="center"/>
            <w:hideMark/>
          </w:tcPr>
          <w:p w14:paraId="045A3F36"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70%</w:t>
            </w:r>
          </w:p>
        </w:tc>
      </w:tr>
      <w:tr w:rsidR="001414E9" w:rsidRPr="00F53530" w14:paraId="045A3F3A" w14:textId="77777777" w:rsidTr="00277E0E">
        <w:trPr>
          <w:trHeight w:val="300"/>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45A3F38"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lastRenderedPageBreak/>
              <w:t>Segunda (2a)</w:t>
            </w:r>
          </w:p>
        </w:tc>
        <w:tc>
          <w:tcPr>
            <w:tcW w:w="3119" w:type="dxa"/>
            <w:tcBorders>
              <w:top w:val="nil"/>
              <w:left w:val="nil"/>
              <w:bottom w:val="single" w:sz="4" w:space="0" w:color="auto"/>
              <w:right w:val="single" w:sz="4" w:space="0" w:color="auto"/>
            </w:tcBorders>
            <w:shd w:val="clear" w:color="auto" w:fill="auto"/>
            <w:vAlign w:val="center"/>
            <w:hideMark/>
          </w:tcPr>
          <w:p w14:paraId="045A3F39"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60%</w:t>
            </w:r>
          </w:p>
        </w:tc>
      </w:tr>
      <w:tr w:rsidR="001414E9" w:rsidRPr="00F53530" w14:paraId="045A3F3D" w14:textId="77777777" w:rsidTr="00277E0E">
        <w:trPr>
          <w:trHeight w:val="300"/>
          <w:jc w:val="cent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45A3F3B"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Primera (1a) y Especial</w:t>
            </w:r>
          </w:p>
        </w:tc>
        <w:tc>
          <w:tcPr>
            <w:tcW w:w="3119" w:type="dxa"/>
            <w:tcBorders>
              <w:top w:val="nil"/>
              <w:left w:val="nil"/>
              <w:bottom w:val="single" w:sz="4" w:space="0" w:color="auto"/>
              <w:right w:val="single" w:sz="4" w:space="0" w:color="auto"/>
            </w:tcBorders>
            <w:shd w:val="clear" w:color="auto" w:fill="auto"/>
            <w:vAlign w:val="center"/>
            <w:hideMark/>
          </w:tcPr>
          <w:p w14:paraId="045A3F3C" w14:textId="77777777" w:rsidR="001414E9" w:rsidRPr="00F53530" w:rsidRDefault="001414E9" w:rsidP="00C44821">
            <w:pPr>
              <w:spacing w:after="0" w:line="240" w:lineRule="auto"/>
              <w:jc w:val="center"/>
              <w:rPr>
                <w:rFonts w:ascii="Times New Roman" w:eastAsia="Times New Roman" w:hAnsi="Times New Roman"/>
                <w:color w:val="231F20"/>
                <w:lang w:eastAsia="es-CO"/>
              </w:rPr>
            </w:pPr>
            <w:r w:rsidRPr="00F53530">
              <w:rPr>
                <w:rFonts w:ascii="Times New Roman" w:eastAsia="Times New Roman" w:hAnsi="Times New Roman"/>
                <w:color w:val="231F20"/>
                <w:lang w:eastAsia="es-CO"/>
              </w:rPr>
              <w:t>50%</w:t>
            </w:r>
          </w:p>
        </w:tc>
      </w:tr>
    </w:tbl>
    <w:p w14:paraId="045A3F3E"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Para acceder a lo dispuesto en el presente artículo los entes territoriales deberán cancelar la totalidad del capital adeudado. Esta disposición aplicará también para aquellas obligaciones que se encuentren en discusión judicial.</w:t>
      </w:r>
    </w:p>
    <w:p w14:paraId="045A3F3F" w14:textId="77777777" w:rsidR="00040448" w:rsidRDefault="00280B8A" w:rsidP="00C44821">
      <w:pPr>
        <w:spacing w:before="240" w:after="240" w:line="240" w:lineRule="auto"/>
        <w:jc w:val="both"/>
        <w:rPr>
          <w:rFonts w:ascii="Times New Roman" w:hAnsi="Times New Roman"/>
        </w:rPr>
      </w:pPr>
      <w:r w:rsidRPr="00127BA6">
        <w:rPr>
          <w:rFonts w:ascii="Times New Roman" w:hAnsi="Times New Roman"/>
          <w:b/>
          <w:bCs/>
        </w:rPr>
        <w:t>PARÁGRAFO.</w:t>
      </w:r>
      <w:r w:rsidRPr="00F53530">
        <w:rPr>
          <w:rFonts w:ascii="Times New Roman" w:hAnsi="Times New Roman"/>
        </w:rPr>
        <w:t xml:space="preserve"> </w:t>
      </w:r>
      <w:r w:rsidR="00040448" w:rsidRPr="00F53530">
        <w:rPr>
          <w:rFonts w:ascii="Times New Roman" w:hAnsi="Times New Roman"/>
        </w:rPr>
        <w:t>El Gobierno nacional tendrá el término de seis (6) meses contados a partir de la vigencia de esta ley, para reglamentar lo referente a la aplicación de los beneficios temporales que concede el artículo; y se tendrá un (1) año, a partir de la reglamentación, para que los entes territoriales accedan a dichos beneficios.</w:t>
      </w:r>
    </w:p>
    <w:p w14:paraId="045A3F40" w14:textId="7264B2B0" w:rsidR="00212465" w:rsidRPr="00212465" w:rsidRDefault="00212465" w:rsidP="00C44821">
      <w:pPr>
        <w:numPr>
          <w:ilvl w:val="0"/>
          <w:numId w:val="1"/>
        </w:numPr>
        <w:spacing w:before="240" w:after="240" w:line="240" w:lineRule="auto"/>
        <w:jc w:val="both"/>
        <w:rPr>
          <w:rFonts w:ascii="Times New Roman" w:hAnsi="Times New Roman"/>
          <w:highlight w:val="yellow"/>
        </w:rPr>
      </w:pPr>
      <w:hyperlink r:id="rId194" w:history="1">
        <w:r w:rsidRPr="00BD5B2B">
          <w:rPr>
            <w:rStyle w:val="Hipervnculo"/>
            <w:rFonts w:ascii="Times New Roman" w:hAnsi="Times New Roman"/>
            <w:b/>
            <w:highlight w:val="yellow"/>
          </w:rPr>
          <w:t>Decreto Reglamentario 1121 de 12 de agosto de 2020</w:t>
        </w:r>
      </w:hyperlink>
      <w:r w:rsidRPr="00212465">
        <w:rPr>
          <w:rFonts w:ascii="Times New Roman" w:hAnsi="Times New Roman"/>
          <w:b/>
          <w:highlight w:val="yellow"/>
        </w:rPr>
        <w:t>:</w:t>
      </w:r>
      <w:r w:rsidRPr="00212465">
        <w:rPr>
          <w:rFonts w:ascii="Times New Roman" w:hAnsi="Times New Roman"/>
          <w:highlight w:val="yellow"/>
        </w:rPr>
        <w:t xml:space="preserve"> Por el cual se reglamenta parcialmente el artículo 156 de la Ley 2010 de 2019 en relación con los beneficios temporales de las entidades territoriales respecto de contratos originados en operaciones de crédito público y acuerdos de pago suscritos con la Nación – Ministerio de Hacienda y Crédito Público.</w:t>
      </w:r>
    </w:p>
    <w:p w14:paraId="045A3F41" w14:textId="459C2DD2" w:rsidR="00040448" w:rsidRPr="00F53530" w:rsidRDefault="00040448" w:rsidP="00C44821">
      <w:pPr>
        <w:spacing w:before="240" w:after="240" w:line="240" w:lineRule="auto"/>
        <w:jc w:val="both"/>
        <w:rPr>
          <w:rFonts w:ascii="Times New Roman" w:hAnsi="Times New Roman"/>
        </w:rPr>
      </w:pPr>
      <w:r w:rsidRPr="00127BA6">
        <w:rPr>
          <w:rFonts w:ascii="Times New Roman" w:hAnsi="Times New Roman"/>
          <w:b/>
          <w:bCs/>
        </w:rPr>
        <w:t>ARTÍCULO 157.</w:t>
      </w:r>
      <w:r w:rsidR="00127BA6">
        <w:rPr>
          <w:rFonts w:ascii="Times New Roman" w:hAnsi="Times New Roman"/>
          <w:b/>
          <w:bCs/>
        </w:rPr>
        <w:t xml:space="preserve"> </w:t>
      </w:r>
      <w:r w:rsidRPr="00F53530">
        <w:rPr>
          <w:rFonts w:ascii="Times New Roman" w:hAnsi="Times New Roman"/>
        </w:rPr>
        <w:t xml:space="preserve">Los distribuidores mayoristas o comercializadores industriales de combustibles, que a diciembre 31 de 2016 tuvieren inventarios de combustibles, sobre los cuales, a la fecha de expedición de la presente ley, no hubieren podido recuperar el diferencial existente entre el impuesto nacional a la gasolina y ACPM pagado al productor o importador y el impuesto nacional a la gasolina y ACPM autorizado por la </w:t>
      </w:r>
      <w:hyperlink r:id="rId195" w:history="1">
        <w:r w:rsidRPr="00646137">
          <w:rPr>
            <w:rStyle w:val="Hipervnculo"/>
            <w:rFonts w:ascii="Times New Roman" w:hAnsi="Times New Roman"/>
          </w:rPr>
          <w:t>Ley 1819 de 2016</w:t>
        </w:r>
      </w:hyperlink>
      <w:r w:rsidRPr="00F53530">
        <w:rPr>
          <w:rFonts w:ascii="Times New Roman" w:hAnsi="Times New Roman"/>
        </w:rPr>
        <w:t xml:space="preserve"> para ser cobrado a partir del 1de enero de 2017, podrán solicitar y obtener la devolución de dicho diferencial por parte del productor o importador, quien a su turno deberá imputarlo en su declaración de impuesto nacional a la gasolina y ACPM, correspondiente al mes en que realicen la devolución o a uno cualquiera de los siguientes meses.</w:t>
      </w:r>
    </w:p>
    <w:p w14:paraId="045A3F42"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Para tal efecto, a partir del 1 de enero de 2020, el distribuidor mayorista o comercializador industrial deberá certificar al productor o importador, el monto del diferencial al que se refiere el presente artículo, mediante certificación suscrita por el revisor fiscal, con base en la cual el productor o importador efectuará la devolución respectiva a favor del distribuidor mayorista o comercializador industrial.</w:t>
      </w:r>
    </w:p>
    <w:p w14:paraId="045A3F43" w14:textId="77777777" w:rsidR="00040448" w:rsidRPr="00F53530" w:rsidRDefault="00040448" w:rsidP="00C44821">
      <w:pPr>
        <w:spacing w:before="240" w:after="240" w:line="240" w:lineRule="auto"/>
        <w:jc w:val="both"/>
        <w:rPr>
          <w:rFonts w:ascii="Times New Roman" w:hAnsi="Times New Roman"/>
        </w:rPr>
      </w:pPr>
      <w:r w:rsidRPr="00127BA6">
        <w:rPr>
          <w:rFonts w:ascii="Times New Roman" w:hAnsi="Times New Roman"/>
          <w:b/>
          <w:bCs/>
        </w:rPr>
        <w:t>ARTÍCULO 158.</w:t>
      </w:r>
      <w:r w:rsidR="00127BA6">
        <w:rPr>
          <w:rFonts w:ascii="Times New Roman" w:hAnsi="Times New Roman"/>
          <w:b/>
          <w:bCs/>
        </w:rPr>
        <w:t xml:space="preserve"> </w:t>
      </w:r>
      <w:r w:rsidRPr="00F53530">
        <w:rPr>
          <w:rFonts w:ascii="Times New Roman" w:hAnsi="Times New Roman"/>
        </w:rPr>
        <w:t>Se autoriza la importación de cemento para los departamentos de Amazonas y Guainía, vía fluvial y terrestre. Única y exclusivamente por los lugares habilitados por la DIAN y para el consumo interno.</w:t>
      </w:r>
    </w:p>
    <w:p w14:paraId="045A3F44" w14:textId="412FEB0E"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 xml:space="preserve">Dado que el producto en mención se encuentra entre las sustancias y productos químicos controlados por el Consejo Nacional de Estupefacientes, la importación estará sujeta a lo dispuesto por el parágrafo 1, artículo 2 de la </w:t>
      </w:r>
      <w:hyperlink r:id="rId196" w:history="1">
        <w:r w:rsidRPr="00AE1312">
          <w:rPr>
            <w:rStyle w:val="Hipervnculo"/>
            <w:rFonts w:ascii="Times New Roman" w:hAnsi="Times New Roman"/>
          </w:rPr>
          <w:t>Resolución 001 de 2015</w:t>
        </w:r>
      </w:hyperlink>
      <w:r w:rsidRPr="00F53530">
        <w:rPr>
          <w:rFonts w:ascii="Times New Roman" w:hAnsi="Times New Roman"/>
        </w:rPr>
        <w:t>.</w:t>
      </w:r>
    </w:p>
    <w:p w14:paraId="045A3F45" w14:textId="77777777" w:rsidR="00040448" w:rsidRDefault="00040448" w:rsidP="00C44821">
      <w:pPr>
        <w:spacing w:before="240" w:after="240" w:line="240" w:lineRule="auto"/>
        <w:jc w:val="both"/>
        <w:rPr>
          <w:rFonts w:ascii="Times New Roman" w:hAnsi="Times New Roman"/>
        </w:rPr>
      </w:pPr>
      <w:r w:rsidRPr="00F53530">
        <w:rPr>
          <w:rFonts w:ascii="Times New Roman" w:hAnsi="Times New Roman"/>
        </w:rPr>
        <w:t>El Gobierno nacional reglamentará los cupos habilitados, los lugares, términos y condiciones para la importación de cemento a los departamentos mencionados en el presente artículo.</w:t>
      </w:r>
    </w:p>
    <w:p w14:paraId="045A3F46" w14:textId="77777777" w:rsidR="00AE1312" w:rsidRPr="00E65A9F" w:rsidRDefault="00AE1312" w:rsidP="00C44821">
      <w:pPr>
        <w:spacing w:after="0" w:line="240" w:lineRule="auto"/>
        <w:jc w:val="both"/>
        <w:rPr>
          <w:rFonts w:ascii="Times New Roman" w:hAnsi="Times New Roman"/>
          <w:b/>
          <w:highlight w:val="yellow"/>
        </w:rPr>
      </w:pPr>
      <w:r w:rsidRPr="00E65A9F">
        <w:rPr>
          <w:rFonts w:ascii="Times New Roman" w:hAnsi="Times New Roman"/>
          <w:b/>
          <w:highlight w:val="yellow"/>
        </w:rPr>
        <w:t>CONCORDANCIAS:</w:t>
      </w:r>
    </w:p>
    <w:p w14:paraId="045A3F47" w14:textId="6DBC6ECE" w:rsidR="00544226" w:rsidRPr="00E65A9F" w:rsidRDefault="00544226" w:rsidP="00C44821">
      <w:pPr>
        <w:numPr>
          <w:ilvl w:val="0"/>
          <w:numId w:val="1"/>
        </w:numPr>
        <w:spacing w:after="0" w:line="240" w:lineRule="auto"/>
        <w:jc w:val="both"/>
        <w:rPr>
          <w:rFonts w:ascii="Times New Roman" w:hAnsi="Times New Roman"/>
          <w:b/>
          <w:highlight w:val="yellow"/>
        </w:rPr>
      </w:pPr>
      <w:hyperlink r:id="rId197" w:history="1">
        <w:r w:rsidRPr="00E65A9F">
          <w:rPr>
            <w:rStyle w:val="Hipervnculo"/>
            <w:rFonts w:ascii="Times New Roman" w:hAnsi="Times New Roman"/>
            <w:b/>
            <w:highlight w:val="yellow"/>
          </w:rPr>
          <w:t>Resolución DIAN No. 44 de 7 de mayo de 2020</w:t>
        </w:r>
      </w:hyperlink>
      <w:r w:rsidRPr="00E65A9F">
        <w:rPr>
          <w:rFonts w:ascii="Times New Roman" w:hAnsi="Times New Roman"/>
          <w:b/>
          <w:highlight w:val="yellow"/>
        </w:rPr>
        <w:t xml:space="preserve">: </w:t>
      </w:r>
      <w:r w:rsidR="00E65A9F" w:rsidRPr="00E65A9F">
        <w:rPr>
          <w:rFonts w:ascii="Times New Roman" w:hAnsi="Times New Roman"/>
          <w:highlight w:val="yellow"/>
        </w:rPr>
        <w:t>Por medio de la cual se adoptan medidas para la importación de cemento a los departamentos de Amazonas y Guainía, de conformidad con lo establecido en el artículo 158 de la Ley 2010 de 2019.</w:t>
      </w:r>
    </w:p>
    <w:p w14:paraId="045A3F48" w14:textId="77777777" w:rsidR="00040448" w:rsidRPr="00F53530" w:rsidRDefault="00040448" w:rsidP="00C44821">
      <w:pPr>
        <w:spacing w:before="240" w:after="240" w:line="240" w:lineRule="auto"/>
        <w:jc w:val="both"/>
        <w:rPr>
          <w:rFonts w:ascii="Times New Roman" w:hAnsi="Times New Roman"/>
        </w:rPr>
      </w:pPr>
      <w:r w:rsidRPr="00127BA6">
        <w:rPr>
          <w:rFonts w:ascii="Times New Roman" w:hAnsi="Times New Roman"/>
          <w:b/>
          <w:bCs/>
        </w:rPr>
        <w:lastRenderedPageBreak/>
        <w:t>ARTÍCULO 159.</w:t>
      </w:r>
      <w:r w:rsidR="00127BA6">
        <w:rPr>
          <w:rFonts w:ascii="Times New Roman" w:hAnsi="Times New Roman"/>
          <w:b/>
          <w:bCs/>
        </w:rPr>
        <w:t xml:space="preserve"> </w:t>
      </w:r>
      <w:r w:rsidRPr="00F53530">
        <w:rPr>
          <w:rFonts w:ascii="Times New Roman" w:hAnsi="Times New Roman"/>
        </w:rPr>
        <w:t xml:space="preserve">Modifíquese el Artículo 525 del </w:t>
      </w:r>
      <w:r w:rsidR="006E0953">
        <w:rPr>
          <w:rFonts w:ascii="Times New Roman" w:hAnsi="Times New Roman"/>
        </w:rPr>
        <w:t>*</w:t>
      </w:r>
      <w:r w:rsidRPr="00F53530">
        <w:rPr>
          <w:rFonts w:ascii="Times New Roman" w:hAnsi="Times New Roman"/>
        </w:rPr>
        <w:t>Estatuto Tributario Nacional, el cual quedará así:</w:t>
      </w:r>
    </w:p>
    <w:p w14:paraId="045A3F49" w14:textId="77777777" w:rsidR="00040448" w:rsidRPr="00F53530" w:rsidRDefault="00040448" w:rsidP="00C44821">
      <w:pPr>
        <w:spacing w:before="240" w:after="240" w:line="240" w:lineRule="auto"/>
        <w:jc w:val="both"/>
        <w:rPr>
          <w:rFonts w:ascii="Times New Roman" w:hAnsi="Times New Roman"/>
          <w:i/>
        </w:rPr>
      </w:pPr>
      <w:r w:rsidRPr="009A77AA">
        <w:rPr>
          <w:rFonts w:ascii="Times New Roman" w:hAnsi="Times New Roman"/>
          <w:b/>
          <w:bCs/>
          <w:i/>
        </w:rPr>
        <w:t>Artículo 525</w:t>
      </w:r>
      <w:r w:rsidR="00280B8A" w:rsidRPr="009A77AA">
        <w:rPr>
          <w:rFonts w:ascii="Times New Roman" w:hAnsi="Times New Roman"/>
          <w:b/>
          <w:bCs/>
          <w:i/>
        </w:rPr>
        <w:t>.</w:t>
      </w:r>
      <w:r w:rsidRPr="009A77AA">
        <w:rPr>
          <w:rFonts w:ascii="Times New Roman" w:hAnsi="Times New Roman"/>
          <w:b/>
          <w:bCs/>
          <w:i/>
        </w:rPr>
        <w:t xml:space="preserve"> Impuesto de timbre para actuaciones que se cumplan en el exterior.</w:t>
      </w:r>
      <w:r w:rsidR="009A77AA">
        <w:rPr>
          <w:rFonts w:ascii="Times New Roman" w:hAnsi="Times New Roman"/>
          <w:b/>
          <w:bCs/>
          <w:i/>
        </w:rPr>
        <w:t xml:space="preserve"> </w:t>
      </w:r>
      <w:r w:rsidRPr="00F53530">
        <w:rPr>
          <w:rFonts w:ascii="Times New Roman" w:hAnsi="Times New Roman"/>
          <w:i/>
        </w:rPr>
        <w:t>Las tarifas de los impuestos de timbre nacional sobre actuaciones que se cumplan ante funcionarios diplomáticos o consulares del país, serán las siguientes:</w:t>
      </w:r>
    </w:p>
    <w:p w14:paraId="045A3F4A"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1. Pasaporte ordinarios que se expidan en el exterior por funcionarios consulares, veinte y uno dólares (US$21), o su equivalente en otras monedas.</w:t>
      </w:r>
    </w:p>
    <w:p w14:paraId="045A3F4B"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2. Las certificaciones expedidas en el exterior por funcionarios consulares, cinco dólares (US$5), o su equivalente en otras monedas.</w:t>
      </w:r>
    </w:p>
    <w:p w14:paraId="045A3F4C"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3. Las autenticaciones efectuadas por los cónsules colombianos, cinco dólares (US$5), o su equivalente en otras monedas.</w:t>
      </w:r>
    </w:p>
    <w:p w14:paraId="045A3F4D" w14:textId="77777777" w:rsidR="00040448" w:rsidRPr="00F53530" w:rsidRDefault="00040448" w:rsidP="00C44821">
      <w:pPr>
        <w:spacing w:before="240" w:after="240" w:line="240" w:lineRule="auto"/>
        <w:jc w:val="both"/>
        <w:rPr>
          <w:rFonts w:ascii="Times New Roman" w:hAnsi="Times New Roman"/>
          <w:i/>
        </w:rPr>
      </w:pPr>
      <w:r w:rsidRPr="00F53530">
        <w:rPr>
          <w:rFonts w:ascii="Times New Roman" w:hAnsi="Times New Roman"/>
          <w:i/>
        </w:rPr>
        <w:t>4. El reconocimiento de firmas ante cónsules colombianos, cinco dólares (US$5), o su equivalente en otras monedas, por cada firma que se autentique.</w:t>
      </w:r>
    </w:p>
    <w:p w14:paraId="045A3F4E" w14:textId="77777777" w:rsidR="00040448" w:rsidRDefault="00040448" w:rsidP="00C44821">
      <w:pPr>
        <w:spacing w:before="240" w:after="240" w:line="240" w:lineRule="auto"/>
        <w:jc w:val="both"/>
        <w:rPr>
          <w:rFonts w:ascii="Times New Roman" w:hAnsi="Times New Roman"/>
          <w:i/>
        </w:rPr>
      </w:pPr>
      <w:r w:rsidRPr="00F53530">
        <w:rPr>
          <w:rFonts w:ascii="Times New Roman" w:hAnsi="Times New Roman"/>
          <w:i/>
        </w:rPr>
        <w:t>5. La protocolización de escrituras públicas en el libro respectivo del consulado colombiano, ochenta y dos dólares (US$82), o su equivalente en otras monedas.</w:t>
      </w:r>
    </w:p>
    <w:p w14:paraId="045A3F4F" w14:textId="77777777" w:rsidR="006E0953" w:rsidRPr="00F53530" w:rsidRDefault="006E0953" w:rsidP="00C44821">
      <w:pPr>
        <w:spacing w:before="240" w:after="240" w:line="240" w:lineRule="auto"/>
        <w:jc w:val="both"/>
        <w:rPr>
          <w:rFonts w:ascii="Times New Roman" w:hAnsi="Times New Roman"/>
          <w:i/>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45A3F50" w14:textId="711D9C52" w:rsidR="00040448" w:rsidRPr="00F53530" w:rsidRDefault="00040448" w:rsidP="00C44821">
      <w:pPr>
        <w:spacing w:before="240" w:after="240" w:line="240" w:lineRule="auto"/>
        <w:jc w:val="both"/>
        <w:rPr>
          <w:rFonts w:ascii="Times New Roman" w:hAnsi="Times New Roman"/>
        </w:rPr>
      </w:pPr>
      <w:r w:rsidRPr="00127BA6">
        <w:rPr>
          <w:rFonts w:ascii="Times New Roman" w:hAnsi="Times New Roman"/>
          <w:b/>
          <w:bCs/>
        </w:rPr>
        <w:t>ARTÍCULO 160. VIGENCIA Y DEROGATORIAS.</w:t>
      </w:r>
      <w:r w:rsidR="001414E9" w:rsidRPr="00F53530">
        <w:rPr>
          <w:rFonts w:ascii="Times New Roman" w:hAnsi="Times New Roman"/>
        </w:rPr>
        <w:t xml:space="preserve"> </w:t>
      </w:r>
      <w:r w:rsidRPr="00F53530">
        <w:rPr>
          <w:rFonts w:ascii="Times New Roman" w:hAnsi="Times New Roman"/>
        </w:rPr>
        <w:t xml:space="preserve">La presente ley rige a partir de su promulgación y deroga el artículo 264 de la </w:t>
      </w:r>
      <w:hyperlink r:id="rId198" w:history="1">
        <w:r w:rsidRPr="009D2823">
          <w:rPr>
            <w:rStyle w:val="Hipervnculo"/>
            <w:rFonts w:ascii="Times New Roman" w:hAnsi="Times New Roman"/>
          </w:rPr>
          <w:t>Ley 223 de 1995</w:t>
        </w:r>
      </w:hyperlink>
      <w:r w:rsidRPr="00F53530">
        <w:rPr>
          <w:rFonts w:ascii="Times New Roman" w:hAnsi="Times New Roman"/>
        </w:rPr>
        <w:t xml:space="preserve">, el artículo 9 de la </w:t>
      </w:r>
      <w:hyperlink r:id="rId199" w:history="1">
        <w:r w:rsidRPr="00C34DEE">
          <w:rPr>
            <w:rStyle w:val="Hipervnculo"/>
            <w:rFonts w:ascii="Times New Roman" w:hAnsi="Times New Roman"/>
          </w:rPr>
          <w:t>Ley 1753 de 2015</w:t>
        </w:r>
      </w:hyperlink>
      <w:r w:rsidRPr="00F53530">
        <w:rPr>
          <w:rFonts w:ascii="Times New Roman" w:hAnsi="Times New Roman"/>
        </w:rPr>
        <w:t>, el inciso tercero del artículo 48</w:t>
      </w:r>
      <w:r w:rsidR="009F6554" w:rsidRPr="00F53530">
        <w:rPr>
          <w:rFonts w:ascii="Times New Roman" w:hAnsi="Times New Roman"/>
        </w:rPr>
        <w:t>,</w:t>
      </w:r>
      <w:r w:rsidRPr="00F53530">
        <w:rPr>
          <w:rFonts w:ascii="Times New Roman" w:hAnsi="Times New Roman"/>
        </w:rPr>
        <w:t xml:space="preserve"> el parágrafo 3 del artículo 49</w:t>
      </w:r>
      <w:r w:rsidR="009F6554" w:rsidRPr="00F53530">
        <w:rPr>
          <w:rFonts w:ascii="Times New Roman" w:hAnsi="Times New Roman"/>
        </w:rPr>
        <w:t>,</w:t>
      </w:r>
      <w:r w:rsidRPr="00F53530">
        <w:rPr>
          <w:rFonts w:ascii="Times New Roman" w:hAnsi="Times New Roman"/>
        </w:rPr>
        <w:t xml:space="preserve"> 56-2</w:t>
      </w:r>
      <w:r w:rsidR="009F6554" w:rsidRPr="00F53530">
        <w:rPr>
          <w:rFonts w:ascii="Times New Roman" w:hAnsi="Times New Roman"/>
        </w:rPr>
        <w:t>,</w:t>
      </w:r>
      <w:r w:rsidRPr="00F53530">
        <w:rPr>
          <w:rFonts w:ascii="Times New Roman" w:hAnsi="Times New Roman"/>
        </w:rPr>
        <w:t xml:space="preserve"> 115-2</w:t>
      </w:r>
      <w:r w:rsidR="009F6554" w:rsidRPr="00F53530">
        <w:rPr>
          <w:rFonts w:ascii="Times New Roman" w:hAnsi="Times New Roman"/>
        </w:rPr>
        <w:t>,</w:t>
      </w:r>
      <w:r w:rsidRPr="00F53530">
        <w:rPr>
          <w:rFonts w:ascii="Times New Roman" w:hAnsi="Times New Roman"/>
        </w:rPr>
        <w:t xml:space="preserve"> 116</w:t>
      </w:r>
      <w:r w:rsidR="009F6554" w:rsidRPr="00F53530">
        <w:rPr>
          <w:rFonts w:ascii="Times New Roman" w:hAnsi="Times New Roman"/>
        </w:rPr>
        <w:t>,</w:t>
      </w:r>
      <w:r w:rsidRPr="00F53530">
        <w:rPr>
          <w:rFonts w:ascii="Times New Roman" w:hAnsi="Times New Roman"/>
        </w:rPr>
        <w:t xml:space="preserve"> el parágrafo 3 del artículo 127-1</w:t>
      </w:r>
      <w:r w:rsidR="009F6554" w:rsidRPr="00F53530">
        <w:rPr>
          <w:rFonts w:ascii="Times New Roman" w:hAnsi="Times New Roman"/>
        </w:rPr>
        <w:t>,</w:t>
      </w:r>
      <w:r w:rsidRPr="00F53530">
        <w:rPr>
          <w:rFonts w:ascii="Times New Roman" w:hAnsi="Times New Roman"/>
        </w:rPr>
        <w:t xml:space="preserve"> 223</w:t>
      </w:r>
      <w:r w:rsidR="009F6554" w:rsidRPr="00F53530">
        <w:rPr>
          <w:rFonts w:ascii="Times New Roman" w:hAnsi="Times New Roman"/>
        </w:rPr>
        <w:t>,</w:t>
      </w:r>
      <w:r w:rsidRPr="00F53530">
        <w:rPr>
          <w:rFonts w:ascii="Times New Roman" w:hAnsi="Times New Roman"/>
        </w:rPr>
        <w:t xml:space="preserve"> el parágrafo 6 del artículo 240</w:t>
      </w:r>
      <w:r w:rsidR="009F6554" w:rsidRPr="00F53530">
        <w:rPr>
          <w:rFonts w:ascii="Times New Roman" w:hAnsi="Times New Roman"/>
        </w:rPr>
        <w:t>,</w:t>
      </w:r>
      <w:r w:rsidRPr="00F53530">
        <w:rPr>
          <w:rFonts w:ascii="Times New Roman" w:hAnsi="Times New Roman"/>
        </w:rPr>
        <w:t xml:space="preserve"> la referencia al numeral 7 del artículo 207-2 del parágrafo 1 del artículo 240</w:t>
      </w:r>
      <w:r w:rsidR="009F6554" w:rsidRPr="00F53530">
        <w:rPr>
          <w:rFonts w:ascii="Times New Roman" w:hAnsi="Times New Roman"/>
        </w:rPr>
        <w:t>,</w:t>
      </w:r>
      <w:r w:rsidRPr="00F53530">
        <w:rPr>
          <w:rFonts w:ascii="Times New Roman" w:hAnsi="Times New Roman"/>
        </w:rPr>
        <w:t xml:space="preserve"> 258-2</w:t>
      </w:r>
      <w:r w:rsidR="009F6554" w:rsidRPr="00F53530">
        <w:rPr>
          <w:rFonts w:ascii="Times New Roman" w:hAnsi="Times New Roman"/>
        </w:rPr>
        <w:t>,</w:t>
      </w:r>
      <w:r w:rsidRPr="00F53530">
        <w:rPr>
          <w:rFonts w:ascii="Times New Roman" w:hAnsi="Times New Roman"/>
        </w:rPr>
        <w:t xml:space="preserve"> 292</w:t>
      </w:r>
      <w:r w:rsidR="009F6554" w:rsidRPr="00F53530">
        <w:rPr>
          <w:rFonts w:ascii="Times New Roman" w:hAnsi="Times New Roman"/>
        </w:rPr>
        <w:t>,</w:t>
      </w:r>
      <w:r w:rsidRPr="00F53530">
        <w:rPr>
          <w:rFonts w:ascii="Times New Roman" w:hAnsi="Times New Roman"/>
        </w:rPr>
        <w:t xml:space="preserve"> 292-1</w:t>
      </w:r>
      <w:r w:rsidR="009F6554" w:rsidRPr="00F53530">
        <w:rPr>
          <w:rFonts w:ascii="Times New Roman" w:hAnsi="Times New Roman"/>
        </w:rPr>
        <w:t>,</w:t>
      </w:r>
      <w:r w:rsidRPr="00F53530">
        <w:rPr>
          <w:rFonts w:ascii="Times New Roman" w:hAnsi="Times New Roman"/>
        </w:rPr>
        <w:t xml:space="preserve"> 293</w:t>
      </w:r>
      <w:r w:rsidR="009F6554" w:rsidRPr="00F53530">
        <w:rPr>
          <w:rFonts w:ascii="Times New Roman" w:hAnsi="Times New Roman"/>
        </w:rPr>
        <w:t>,</w:t>
      </w:r>
      <w:r w:rsidRPr="00F53530">
        <w:rPr>
          <w:rFonts w:ascii="Times New Roman" w:hAnsi="Times New Roman"/>
        </w:rPr>
        <w:t xml:space="preserve"> 293-1</w:t>
      </w:r>
      <w:r w:rsidR="009F6554" w:rsidRPr="00F53530">
        <w:rPr>
          <w:rFonts w:ascii="Times New Roman" w:hAnsi="Times New Roman"/>
        </w:rPr>
        <w:t>,</w:t>
      </w:r>
      <w:r w:rsidRPr="00F53530">
        <w:rPr>
          <w:rFonts w:ascii="Times New Roman" w:hAnsi="Times New Roman"/>
        </w:rPr>
        <w:t xml:space="preserve"> 293-2</w:t>
      </w:r>
      <w:r w:rsidR="009F6554" w:rsidRPr="00F53530">
        <w:rPr>
          <w:rFonts w:ascii="Times New Roman" w:hAnsi="Times New Roman"/>
        </w:rPr>
        <w:t>,</w:t>
      </w:r>
      <w:r w:rsidRPr="00F53530">
        <w:rPr>
          <w:rFonts w:ascii="Times New Roman" w:hAnsi="Times New Roman"/>
        </w:rPr>
        <w:t xml:space="preserve"> 294</w:t>
      </w:r>
      <w:r w:rsidR="009F6554" w:rsidRPr="00F53530">
        <w:rPr>
          <w:rFonts w:ascii="Times New Roman" w:hAnsi="Times New Roman"/>
        </w:rPr>
        <w:t>,</w:t>
      </w:r>
      <w:r w:rsidRPr="00F53530">
        <w:rPr>
          <w:rFonts w:ascii="Times New Roman" w:hAnsi="Times New Roman"/>
        </w:rPr>
        <w:t xml:space="preserve"> 294-1</w:t>
      </w:r>
      <w:r w:rsidR="009F6554" w:rsidRPr="00F53530">
        <w:rPr>
          <w:rFonts w:ascii="Times New Roman" w:hAnsi="Times New Roman"/>
        </w:rPr>
        <w:t>,</w:t>
      </w:r>
      <w:r w:rsidRPr="00F53530">
        <w:rPr>
          <w:rFonts w:ascii="Times New Roman" w:hAnsi="Times New Roman"/>
        </w:rPr>
        <w:t xml:space="preserve"> 295</w:t>
      </w:r>
      <w:r w:rsidR="009F6554" w:rsidRPr="00F53530">
        <w:rPr>
          <w:rFonts w:ascii="Times New Roman" w:hAnsi="Times New Roman"/>
        </w:rPr>
        <w:t>,</w:t>
      </w:r>
      <w:r w:rsidRPr="00F53530">
        <w:rPr>
          <w:rFonts w:ascii="Times New Roman" w:hAnsi="Times New Roman"/>
        </w:rPr>
        <w:t xml:space="preserve"> 295-1</w:t>
      </w:r>
      <w:r w:rsidR="009F6554" w:rsidRPr="00F53530">
        <w:rPr>
          <w:rFonts w:ascii="Times New Roman" w:hAnsi="Times New Roman"/>
        </w:rPr>
        <w:t>,</w:t>
      </w:r>
      <w:r w:rsidRPr="00F53530">
        <w:rPr>
          <w:rFonts w:ascii="Times New Roman" w:hAnsi="Times New Roman"/>
        </w:rPr>
        <w:t xml:space="preserve"> 296</w:t>
      </w:r>
      <w:r w:rsidR="009F6554" w:rsidRPr="00F53530">
        <w:rPr>
          <w:rFonts w:ascii="Times New Roman" w:hAnsi="Times New Roman"/>
        </w:rPr>
        <w:t>,</w:t>
      </w:r>
      <w:r w:rsidRPr="00F53530">
        <w:rPr>
          <w:rFonts w:ascii="Times New Roman" w:hAnsi="Times New Roman"/>
        </w:rPr>
        <w:t xml:space="preserve"> 296-1</w:t>
      </w:r>
      <w:r w:rsidR="009F6554" w:rsidRPr="00F53530">
        <w:rPr>
          <w:rFonts w:ascii="Times New Roman" w:hAnsi="Times New Roman"/>
        </w:rPr>
        <w:t>,</w:t>
      </w:r>
      <w:r w:rsidRPr="00F53530">
        <w:rPr>
          <w:rFonts w:ascii="Times New Roman" w:hAnsi="Times New Roman"/>
        </w:rPr>
        <w:t xml:space="preserve"> 297</w:t>
      </w:r>
      <w:r w:rsidR="009F6554" w:rsidRPr="00F53530">
        <w:rPr>
          <w:rFonts w:ascii="Times New Roman" w:hAnsi="Times New Roman"/>
        </w:rPr>
        <w:t>,</w:t>
      </w:r>
      <w:r w:rsidRPr="00F53530">
        <w:rPr>
          <w:rFonts w:ascii="Times New Roman" w:hAnsi="Times New Roman"/>
        </w:rPr>
        <w:t xml:space="preserve"> 297-1</w:t>
      </w:r>
      <w:r w:rsidR="009F6554" w:rsidRPr="00F53530">
        <w:rPr>
          <w:rFonts w:ascii="Times New Roman" w:hAnsi="Times New Roman"/>
        </w:rPr>
        <w:t>,</w:t>
      </w:r>
      <w:r w:rsidRPr="00F53530">
        <w:rPr>
          <w:rFonts w:ascii="Times New Roman" w:hAnsi="Times New Roman"/>
        </w:rPr>
        <w:t xml:space="preserve"> 298-3</w:t>
      </w:r>
      <w:r w:rsidR="009F6554" w:rsidRPr="00F53530">
        <w:rPr>
          <w:rFonts w:ascii="Times New Roman" w:hAnsi="Times New Roman"/>
        </w:rPr>
        <w:t>,</w:t>
      </w:r>
      <w:r w:rsidRPr="00F53530">
        <w:rPr>
          <w:rFonts w:ascii="Times New Roman" w:hAnsi="Times New Roman"/>
        </w:rPr>
        <w:t xml:space="preserve"> 298-4</w:t>
      </w:r>
      <w:r w:rsidR="009F6554" w:rsidRPr="00F53530">
        <w:rPr>
          <w:rFonts w:ascii="Times New Roman" w:hAnsi="Times New Roman"/>
        </w:rPr>
        <w:t>,</w:t>
      </w:r>
      <w:r w:rsidRPr="00F53530">
        <w:rPr>
          <w:rFonts w:ascii="Times New Roman" w:hAnsi="Times New Roman"/>
        </w:rPr>
        <w:t xml:space="preserve"> 298-5</w:t>
      </w:r>
      <w:r w:rsidR="009F6554" w:rsidRPr="00F53530">
        <w:rPr>
          <w:rFonts w:ascii="Times New Roman" w:hAnsi="Times New Roman"/>
        </w:rPr>
        <w:t>,</w:t>
      </w:r>
      <w:r w:rsidRPr="00F53530">
        <w:rPr>
          <w:rFonts w:ascii="Times New Roman" w:hAnsi="Times New Roman"/>
        </w:rPr>
        <w:t xml:space="preserve"> el literal d) del numeral 5 del artículo 319-4</w:t>
      </w:r>
      <w:r w:rsidR="009F6554" w:rsidRPr="00F53530">
        <w:rPr>
          <w:rFonts w:ascii="Times New Roman" w:hAnsi="Times New Roman"/>
        </w:rPr>
        <w:t>,</w:t>
      </w:r>
      <w:r w:rsidRPr="00F53530">
        <w:rPr>
          <w:rFonts w:ascii="Times New Roman" w:hAnsi="Times New Roman"/>
        </w:rPr>
        <w:t xml:space="preserve"> el literal d) del numeral 4 del artículo 319-6</w:t>
      </w:r>
      <w:r w:rsidR="009F6554" w:rsidRPr="00F53530">
        <w:rPr>
          <w:rFonts w:ascii="Times New Roman" w:hAnsi="Times New Roman"/>
        </w:rPr>
        <w:t>,</w:t>
      </w:r>
      <w:r w:rsidRPr="00F53530">
        <w:rPr>
          <w:rFonts w:ascii="Times New Roman" w:hAnsi="Times New Roman"/>
        </w:rPr>
        <w:t xml:space="preserve"> 338</w:t>
      </w:r>
      <w:r w:rsidR="009F6554" w:rsidRPr="00F53530">
        <w:rPr>
          <w:rFonts w:ascii="Times New Roman" w:hAnsi="Times New Roman"/>
        </w:rPr>
        <w:t>,</w:t>
      </w:r>
      <w:r w:rsidRPr="00F53530">
        <w:rPr>
          <w:rFonts w:ascii="Times New Roman" w:hAnsi="Times New Roman"/>
        </w:rPr>
        <w:t xml:space="preserve"> 339</w:t>
      </w:r>
      <w:r w:rsidR="009F6554" w:rsidRPr="00F53530">
        <w:rPr>
          <w:rFonts w:ascii="Times New Roman" w:hAnsi="Times New Roman"/>
        </w:rPr>
        <w:t>,</w:t>
      </w:r>
      <w:r w:rsidRPr="00F53530">
        <w:rPr>
          <w:rFonts w:ascii="Times New Roman" w:hAnsi="Times New Roman"/>
        </w:rPr>
        <w:t xml:space="preserve"> 340</w:t>
      </w:r>
      <w:r w:rsidR="009F6554" w:rsidRPr="00F53530">
        <w:rPr>
          <w:rFonts w:ascii="Times New Roman" w:hAnsi="Times New Roman"/>
        </w:rPr>
        <w:t>,</w:t>
      </w:r>
      <w:r w:rsidRPr="00F53530">
        <w:rPr>
          <w:rFonts w:ascii="Times New Roman" w:hAnsi="Times New Roman"/>
        </w:rPr>
        <w:t xml:space="preserve"> 341</w:t>
      </w:r>
      <w:r w:rsidR="009F6554" w:rsidRPr="00F53530">
        <w:rPr>
          <w:rFonts w:ascii="Times New Roman" w:hAnsi="Times New Roman"/>
        </w:rPr>
        <w:t>,</w:t>
      </w:r>
      <w:r w:rsidRPr="00F53530">
        <w:rPr>
          <w:rFonts w:ascii="Times New Roman" w:hAnsi="Times New Roman"/>
        </w:rPr>
        <w:t xml:space="preserve"> 410</w:t>
      </w:r>
      <w:r w:rsidR="009F6554" w:rsidRPr="00F53530">
        <w:rPr>
          <w:rFonts w:ascii="Times New Roman" w:hAnsi="Times New Roman"/>
        </w:rPr>
        <w:t>,</w:t>
      </w:r>
      <w:r w:rsidRPr="00F53530">
        <w:rPr>
          <w:rFonts w:ascii="Times New Roman" w:hAnsi="Times New Roman"/>
        </w:rPr>
        <w:t xml:space="preserve"> 411</w:t>
      </w:r>
      <w:r w:rsidR="009F6554" w:rsidRPr="00F53530">
        <w:rPr>
          <w:rFonts w:ascii="Times New Roman" w:hAnsi="Times New Roman"/>
        </w:rPr>
        <w:t>,</w:t>
      </w:r>
      <w:r w:rsidRPr="00F53530">
        <w:rPr>
          <w:rFonts w:ascii="Times New Roman" w:hAnsi="Times New Roman"/>
        </w:rPr>
        <w:t xml:space="preserve"> las partidas 29.36, 29.41, 30.01, 30.02, 30.03, 30.04 y 30.06 del artículo 424</w:t>
      </w:r>
      <w:r w:rsidR="009F6554" w:rsidRPr="00F53530">
        <w:rPr>
          <w:rFonts w:ascii="Times New Roman" w:hAnsi="Times New Roman"/>
        </w:rPr>
        <w:t>,</w:t>
      </w:r>
      <w:r w:rsidRPr="00F53530">
        <w:rPr>
          <w:rFonts w:ascii="Times New Roman" w:hAnsi="Times New Roman"/>
        </w:rPr>
        <w:t xml:space="preserve"> 430</w:t>
      </w:r>
      <w:r w:rsidR="009F6554" w:rsidRPr="00F53530">
        <w:rPr>
          <w:rFonts w:ascii="Times New Roman" w:hAnsi="Times New Roman"/>
        </w:rPr>
        <w:t>,</w:t>
      </w:r>
      <w:r w:rsidRPr="00F53530">
        <w:rPr>
          <w:rFonts w:ascii="Times New Roman" w:hAnsi="Times New Roman"/>
        </w:rPr>
        <w:t xml:space="preserve"> 446</w:t>
      </w:r>
      <w:r w:rsidR="009F6554" w:rsidRPr="00F53530">
        <w:rPr>
          <w:rFonts w:ascii="Times New Roman" w:hAnsi="Times New Roman"/>
        </w:rPr>
        <w:t>,</w:t>
      </w:r>
      <w:r w:rsidRPr="00F53530">
        <w:rPr>
          <w:rFonts w:ascii="Times New Roman" w:hAnsi="Times New Roman"/>
        </w:rPr>
        <w:t xml:space="preserve"> el parágrafo primero del artículo 468</w:t>
      </w:r>
      <w:r w:rsidR="009F6554" w:rsidRPr="00F53530">
        <w:rPr>
          <w:rFonts w:ascii="Times New Roman" w:hAnsi="Times New Roman"/>
        </w:rPr>
        <w:t>,</w:t>
      </w:r>
      <w:r w:rsidRPr="00F53530">
        <w:rPr>
          <w:rFonts w:ascii="Times New Roman" w:hAnsi="Times New Roman"/>
        </w:rPr>
        <w:t xml:space="preserve"> el numeral 1 del artículo 468-1</w:t>
      </w:r>
      <w:r w:rsidR="009F6554" w:rsidRPr="00F53530">
        <w:rPr>
          <w:rFonts w:ascii="Times New Roman" w:hAnsi="Times New Roman"/>
        </w:rPr>
        <w:t>,</w:t>
      </w:r>
      <w:r w:rsidRPr="00F53530">
        <w:rPr>
          <w:rFonts w:ascii="Times New Roman" w:hAnsi="Times New Roman"/>
        </w:rPr>
        <w:t xml:space="preserve"> el numeral 2 del artículo 477</w:t>
      </w:r>
      <w:r w:rsidR="009F6554" w:rsidRPr="00F53530">
        <w:rPr>
          <w:rFonts w:ascii="Times New Roman" w:hAnsi="Times New Roman"/>
        </w:rPr>
        <w:t>,</w:t>
      </w:r>
      <w:r w:rsidRPr="00F53530">
        <w:rPr>
          <w:rFonts w:ascii="Times New Roman" w:hAnsi="Times New Roman"/>
        </w:rPr>
        <w:t xml:space="preserve"> 485-1</w:t>
      </w:r>
      <w:r w:rsidR="009F6554" w:rsidRPr="00F53530">
        <w:rPr>
          <w:rFonts w:ascii="Times New Roman" w:hAnsi="Times New Roman"/>
        </w:rPr>
        <w:t>,</w:t>
      </w:r>
      <w:r w:rsidRPr="00F53530">
        <w:rPr>
          <w:rFonts w:ascii="Times New Roman" w:hAnsi="Times New Roman"/>
        </w:rPr>
        <w:t xml:space="preserve"> el parágrafo 1 del artículo 485-2</w:t>
      </w:r>
      <w:r w:rsidR="009F6554" w:rsidRPr="00F53530">
        <w:rPr>
          <w:rFonts w:ascii="Times New Roman" w:hAnsi="Times New Roman"/>
        </w:rPr>
        <w:t>,</w:t>
      </w:r>
      <w:r w:rsidRPr="00F53530">
        <w:rPr>
          <w:rFonts w:ascii="Times New Roman" w:hAnsi="Times New Roman"/>
        </w:rPr>
        <w:t xml:space="preserve"> 499</w:t>
      </w:r>
      <w:r w:rsidR="009F6554" w:rsidRPr="00F53530">
        <w:rPr>
          <w:rFonts w:ascii="Times New Roman" w:hAnsi="Times New Roman"/>
        </w:rPr>
        <w:t>,</w:t>
      </w:r>
      <w:r w:rsidRPr="00F53530">
        <w:rPr>
          <w:rFonts w:ascii="Times New Roman" w:hAnsi="Times New Roman"/>
        </w:rPr>
        <w:t xml:space="preserve"> 505</w:t>
      </w:r>
      <w:r w:rsidR="009F6554" w:rsidRPr="00F53530">
        <w:rPr>
          <w:rFonts w:ascii="Times New Roman" w:hAnsi="Times New Roman"/>
        </w:rPr>
        <w:t>,</w:t>
      </w:r>
      <w:r w:rsidRPr="00F53530">
        <w:rPr>
          <w:rFonts w:ascii="Times New Roman" w:hAnsi="Times New Roman"/>
        </w:rPr>
        <w:t xml:space="preserve"> 506</w:t>
      </w:r>
      <w:r w:rsidR="009F6554" w:rsidRPr="00F53530">
        <w:rPr>
          <w:rFonts w:ascii="Times New Roman" w:hAnsi="Times New Roman"/>
        </w:rPr>
        <w:t>,</w:t>
      </w:r>
      <w:r w:rsidRPr="00F53530">
        <w:rPr>
          <w:rFonts w:ascii="Times New Roman" w:hAnsi="Times New Roman"/>
        </w:rPr>
        <w:t xml:space="preserve"> 507</w:t>
      </w:r>
      <w:r w:rsidR="009F6554" w:rsidRPr="00F53530">
        <w:rPr>
          <w:rFonts w:ascii="Times New Roman" w:hAnsi="Times New Roman"/>
        </w:rPr>
        <w:t>,</w:t>
      </w:r>
      <w:r w:rsidRPr="00F53530">
        <w:rPr>
          <w:rFonts w:ascii="Times New Roman" w:hAnsi="Times New Roman"/>
        </w:rPr>
        <w:t xml:space="preserve"> 508</w:t>
      </w:r>
      <w:r w:rsidR="009F6554" w:rsidRPr="00F53530">
        <w:rPr>
          <w:rFonts w:ascii="Times New Roman" w:hAnsi="Times New Roman"/>
        </w:rPr>
        <w:t>,</w:t>
      </w:r>
      <w:r w:rsidRPr="00F53530">
        <w:rPr>
          <w:rFonts w:ascii="Times New Roman" w:hAnsi="Times New Roman"/>
        </w:rPr>
        <w:t xml:space="preserve"> la expresión; así como los servicios de alimentación institucional o alimentación a empresas, prestado bajo contrato (Catering), del parágrafo del artículo 512-8</w:t>
      </w:r>
      <w:r w:rsidR="009F6554" w:rsidRPr="00F53530">
        <w:rPr>
          <w:rFonts w:ascii="Times New Roman" w:hAnsi="Times New Roman"/>
        </w:rPr>
        <w:t>,</w:t>
      </w:r>
      <w:r w:rsidRPr="00F53530">
        <w:rPr>
          <w:rFonts w:ascii="Times New Roman" w:hAnsi="Times New Roman"/>
        </w:rPr>
        <w:t xml:space="preserve"> el inciso 5 del artículo 714</w:t>
      </w:r>
      <w:r w:rsidR="009F6554" w:rsidRPr="00F53530">
        <w:rPr>
          <w:rFonts w:ascii="Times New Roman" w:hAnsi="Times New Roman"/>
        </w:rPr>
        <w:t>,</w:t>
      </w:r>
      <w:r w:rsidRPr="00F53530">
        <w:rPr>
          <w:rFonts w:ascii="Times New Roman" w:hAnsi="Times New Roman"/>
        </w:rPr>
        <w:t xml:space="preserve"> el numeral 3 del artículo 730 del </w:t>
      </w:r>
      <w:r w:rsidR="006E0953">
        <w:rPr>
          <w:rFonts w:ascii="Times New Roman" w:hAnsi="Times New Roman"/>
        </w:rPr>
        <w:t>*</w:t>
      </w:r>
      <w:r w:rsidRPr="00F53530">
        <w:rPr>
          <w:rFonts w:ascii="Times New Roman" w:hAnsi="Times New Roman"/>
        </w:rPr>
        <w:t xml:space="preserve">Estatuto Tributario. A partir del 1 de enero de 2020, deróguese el artículo 312 de la </w:t>
      </w:r>
      <w:hyperlink r:id="rId200" w:history="1">
        <w:r w:rsidRPr="00646137">
          <w:rPr>
            <w:rStyle w:val="Hipervnculo"/>
            <w:rFonts w:ascii="Times New Roman" w:hAnsi="Times New Roman"/>
          </w:rPr>
          <w:t>Ley 1819 de 2016</w:t>
        </w:r>
      </w:hyperlink>
      <w:r w:rsidRPr="00F53530">
        <w:rPr>
          <w:rFonts w:ascii="Times New Roman" w:hAnsi="Times New Roman"/>
        </w:rPr>
        <w:t>.</w:t>
      </w:r>
    </w:p>
    <w:p w14:paraId="045A3F51" w14:textId="77777777"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Los artículos 22, 23, 24, 25 y 26 rigen a partir del 1de julio de 2020 y hasta el 30 de julio de 2021. Cumplido el año de aplicación de los artículos señalados en este inciso, se faculta al Gobierno nacional para evaluar los resultados y determinar la continuidad de estas medidas.</w:t>
      </w:r>
    </w:p>
    <w:p w14:paraId="045A3F52" w14:textId="6AC47CAC" w:rsidR="00040448" w:rsidRPr="00F53530" w:rsidRDefault="00040448" w:rsidP="00C44821">
      <w:pPr>
        <w:spacing w:before="240" w:after="240" w:line="240" w:lineRule="auto"/>
        <w:jc w:val="both"/>
        <w:rPr>
          <w:rFonts w:ascii="Times New Roman" w:hAnsi="Times New Roman"/>
        </w:rPr>
      </w:pPr>
      <w:r w:rsidRPr="00F53530">
        <w:rPr>
          <w:rFonts w:ascii="Times New Roman" w:hAnsi="Times New Roman"/>
        </w:rPr>
        <w:t>Se declara la reviviscencia expresa de los artículos 38</w:t>
      </w:r>
      <w:r w:rsidR="009F6554" w:rsidRPr="00F53530">
        <w:rPr>
          <w:rFonts w:ascii="Times New Roman" w:hAnsi="Times New Roman"/>
        </w:rPr>
        <w:t>,</w:t>
      </w:r>
      <w:r w:rsidRPr="00F53530">
        <w:rPr>
          <w:rFonts w:ascii="Times New Roman" w:hAnsi="Times New Roman"/>
        </w:rPr>
        <w:t xml:space="preserve"> 39</w:t>
      </w:r>
      <w:r w:rsidR="009F6554" w:rsidRPr="00F53530">
        <w:rPr>
          <w:rFonts w:ascii="Times New Roman" w:hAnsi="Times New Roman"/>
        </w:rPr>
        <w:t>,</w:t>
      </w:r>
      <w:r w:rsidRPr="00F53530">
        <w:rPr>
          <w:rFonts w:ascii="Times New Roman" w:hAnsi="Times New Roman"/>
        </w:rPr>
        <w:t xml:space="preserve"> 40</w:t>
      </w:r>
      <w:r w:rsidR="009F6554" w:rsidRPr="00F53530">
        <w:rPr>
          <w:rFonts w:ascii="Times New Roman" w:hAnsi="Times New Roman"/>
        </w:rPr>
        <w:t>,</w:t>
      </w:r>
      <w:r w:rsidRPr="00F53530">
        <w:rPr>
          <w:rFonts w:ascii="Times New Roman" w:hAnsi="Times New Roman"/>
        </w:rPr>
        <w:t xml:space="preserve"> 40-1</w:t>
      </w:r>
      <w:r w:rsidR="009F6554" w:rsidRPr="00F53530">
        <w:rPr>
          <w:rFonts w:ascii="Times New Roman" w:hAnsi="Times New Roman"/>
        </w:rPr>
        <w:t>,</w:t>
      </w:r>
      <w:r w:rsidRPr="00F53530">
        <w:rPr>
          <w:rFonts w:ascii="Times New Roman" w:hAnsi="Times New Roman"/>
        </w:rPr>
        <w:t xml:space="preserve"> 41</w:t>
      </w:r>
      <w:r w:rsidR="009F6554" w:rsidRPr="00F53530">
        <w:rPr>
          <w:rFonts w:ascii="Times New Roman" w:hAnsi="Times New Roman"/>
        </w:rPr>
        <w:t>,</w:t>
      </w:r>
      <w:r w:rsidRPr="00F53530">
        <w:rPr>
          <w:rFonts w:ascii="Times New Roman" w:hAnsi="Times New Roman"/>
        </w:rPr>
        <w:t xml:space="preserve"> 81</w:t>
      </w:r>
      <w:r w:rsidR="009F6554" w:rsidRPr="00F53530">
        <w:rPr>
          <w:rFonts w:ascii="Times New Roman" w:hAnsi="Times New Roman"/>
        </w:rPr>
        <w:t>,</w:t>
      </w:r>
      <w:r w:rsidRPr="00F53530">
        <w:rPr>
          <w:rFonts w:ascii="Times New Roman" w:hAnsi="Times New Roman"/>
        </w:rPr>
        <w:t xml:space="preserve"> 81-1</w:t>
      </w:r>
      <w:r w:rsidR="009F6554" w:rsidRPr="00F53530">
        <w:rPr>
          <w:rFonts w:ascii="Times New Roman" w:hAnsi="Times New Roman"/>
        </w:rPr>
        <w:t>,</w:t>
      </w:r>
      <w:r w:rsidRPr="00F53530">
        <w:rPr>
          <w:rFonts w:ascii="Times New Roman" w:hAnsi="Times New Roman"/>
        </w:rPr>
        <w:t xml:space="preserve"> 118 y 491 del Estatuto Tributario, los cuales se encontraban vigentes antes de la entrada en vigencia de la </w:t>
      </w:r>
      <w:hyperlink r:id="rId201" w:history="1">
        <w:r w:rsidRPr="00FB68BE">
          <w:rPr>
            <w:rStyle w:val="Hipervnculo"/>
            <w:rFonts w:ascii="Times New Roman" w:hAnsi="Times New Roman"/>
          </w:rPr>
          <w:t>Ley 1943 de 2018</w:t>
        </w:r>
      </w:hyperlink>
      <w:r w:rsidRPr="00F53530">
        <w:rPr>
          <w:rFonts w:ascii="Times New Roman" w:hAnsi="Times New Roman"/>
        </w:rPr>
        <w:t>.</w:t>
      </w:r>
    </w:p>
    <w:p w14:paraId="045A3F53" w14:textId="77777777" w:rsidR="006E0953" w:rsidRPr="00F53530" w:rsidRDefault="006E0953" w:rsidP="00C44821">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sectPr w:rsidR="006E0953" w:rsidRPr="00F53530" w:rsidSect="00B316F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5CA97" w14:textId="77777777" w:rsidR="003E33C1" w:rsidRDefault="003E33C1" w:rsidP="00020067">
      <w:pPr>
        <w:spacing w:after="0" w:line="240" w:lineRule="auto"/>
      </w:pPr>
      <w:r>
        <w:separator/>
      </w:r>
    </w:p>
  </w:endnote>
  <w:endnote w:type="continuationSeparator" w:id="0">
    <w:p w14:paraId="5C9905CF" w14:textId="77777777" w:rsidR="003E33C1" w:rsidRDefault="003E33C1" w:rsidP="0002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74787" w14:textId="77777777" w:rsidR="003E33C1" w:rsidRDefault="003E33C1" w:rsidP="00020067">
      <w:pPr>
        <w:spacing w:after="0" w:line="240" w:lineRule="auto"/>
      </w:pPr>
      <w:r>
        <w:separator/>
      </w:r>
    </w:p>
  </w:footnote>
  <w:footnote w:type="continuationSeparator" w:id="0">
    <w:p w14:paraId="0803DD41" w14:textId="77777777" w:rsidR="003E33C1" w:rsidRDefault="003E33C1" w:rsidP="0002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7417"/>
    <w:multiLevelType w:val="hybridMultilevel"/>
    <w:tmpl w:val="E1E48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1C61AB"/>
    <w:multiLevelType w:val="hybridMultilevel"/>
    <w:tmpl w:val="5D5299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2F12E1"/>
    <w:multiLevelType w:val="hybridMultilevel"/>
    <w:tmpl w:val="399C6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C52E68"/>
    <w:multiLevelType w:val="hybridMultilevel"/>
    <w:tmpl w:val="BE5C57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7C6F4D"/>
    <w:multiLevelType w:val="hybridMultilevel"/>
    <w:tmpl w:val="84B0F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980272"/>
    <w:multiLevelType w:val="hybridMultilevel"/>
    <w:tmpl w:val="DC287E02"/>
    <w:lvl w:ilvl="0" w:tplc="080A0001">
      <w:start w:val="1"/>
      <w:numFmt w:val="bullet"/>
      <w:lvlText w:val=""/>
      <w:lvlJc w:val="left"/>
      <w:pPr>
        <w:ind w:left="720" w:hanging="360"/>
      </w:pPr>
      <w:rPr>
        <w:rFonts w:ascii="Symbol" w:hAnsi="Symbo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61385E"/>
    <w:multiLevelType w:val="hybridMultilevel"/>
    <w:tmpl w:val="32542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4943B1"/>
    <w:multiLevelType w:val="hybridMultilevel"/>
    <w:tmpl w:val="57CCB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10292F"/>
    <w:multiLevelType w:val="hybridMultilevel"/>
    <w:tmpl w:val="5BDED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ED5F24"/>
    <w:multiLevelType w:val="hybridMultilevel"/>
    <w:tmpl w:val="E6A26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BC4B45"/>
    <w:multiLevelType w:val="hybridMultilevel"/>
    <w:tmpl w:val="B0D67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C70173"/>
    <w:multiLevelType w:val="hybridMultilevel"/>
    <w:tmpl w:val="1EA06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C7228A"/>
    <w:multiLevelType w:val="hybridMultilevel"/>
    <w:tmpl w:val="6FEC09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57557D"/>
    <w:multiLevelType w:val="hybridMultilevel"/>
    <w:tmpl w:val="698A36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EE313DC"/>
    <w:multiLevelType w:val="hybridMultilevel"/>
    <w:tmpl w:val="5B6E1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E25993"/>
    <w:multiLevelType w:val="hybridMultilevel"/>
    <w:tmpl w:val="24623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3835A0"/>
    <w:multiLevelType w:val="hybridMultilevel"/>
    <w:tmpl w:val="3CD2D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29E33A1"/>
    <w:multiLevelType w:val="hybridMultilevel"/>
    <w:tmpl w:val="EF96F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3F820E2"/>
    <w:multiLevelType w:val="hybridMultilevel"/>
    <w:tmpl w:val="8D0EC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B71364D"/>
    <w:multiLevelType w:val="hybridMultilevel"/>
    <w:tmpl w:val="738EA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2F0434"/>
    <w:multiLevelType w:val="hybridMultilevel"/>
    <w:tmpl w:val="CDA82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77E0A11"/>
    <w:multiLevelType w:val="hybridMultilevel"/>
    <w:tmpl w:val="C13E0F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40B22C3"/>
    <w:multiLevelType w:val="hybridMultilevel"/>
    <w:tmpl w:val="0896D9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47871CD"/>
    <w:multiLevelType w:val="hybridMultilevel"/>
    <w:tmpl w:val="471A3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26233788">
    <w:abstractNumId w:val="1"/>
  </w:num>
  <w:num w:numId="2" w16cid:durableId="1484934027">
    <w:abstractNumId w:val="22"/>
  </w:num>
  <w:num w:numId="3" w16cid:durableId="600724877">
    <w:abstractNumId w:val="13"/>
  </w:num>
  <w:num w:numId="4" w16cid:durableId="2044859617">
    <w:abstractNumId w:val="20"/>
  </w:num>
  <w:num w:numId="5" w16cid:durableId="1626081863">
    <w:abstractNumId w:val="16"/>
  </w:num>
  <w:num w:numId="6" w16cid:durableId="760299495">
    <w:abstractNumId w:val="12"/>
  </w:num>
  <w:num w:numId="7" w16cid:durableId="1871412978">
    <w:abstractNumId w:val="18"/>
  </w:num>
  <w:num w:numId="8" w16cid:durableId="2118713563">
    <w:abstractNumId w:val="8"/>
  </w:num>
  <w:num w:numId="9" w16cid:durableId="1288856562">
    <w:abstractNumId w:val="11"/>
  </w:num>
  <w:num w:numId="10" w16cid:durableId="1921597645">
    <w:abstractNumId w:val="5"/>
  </w:num>
  <w:num w:numId="11" w16cid:durableId="1056853860">
    <w:abstractNumId w:val="9"/>
  </w:num>
  <w:num w:numId="12" w16cid:durableId="1523011859">
    <w:abstractNumId w:val="23"/>
  </w:num>
  <w:num w:numId="13" w16cid:durableId="1804228404">
    <w:abstractNumId w:val="17"/>
  </w:num>
  <w:num w:numId="14" w16cid:durableId="1717854171">
    <w:abstractNumId w:val="4"/>
  </w:num>
  <w:num w:numId="15" w16cid:durableId="1115634427">
    <w:abstractNumId w:val="14"/>
  </w:num>
  <w:num w:numId="16" w16cid:durableId="698162991">
    <w:abstractNumId w:val="21"/>
  </w:num>
  <w:num w:numId="17" w16cid:durableId="1103646752">
    <w:abstractNumId w:val="3"/>
  </w:num>
  <w:num w:numId="18" w16cid:durableId="403181281">
    <w:abstractNumId w:val="6"/>
  </w:num>
  <w:num w:numId="19" w16cid:durableId="164757516">
    <w:abstractNumId w:val="2"/>
  </w:num>
  <w:num w:numId="20" w16cid:durableId="913931473">
    <w:abstractNumId w:val="7"/>
  </w:num>
  <w:num w:numId="21" w16cid:durableId="1661735300">
    <w:abstractNumId w:val="19"/>
  </w:num>
  <w:num w:numId="22" w16cid:durableId="1679310147">
    <w:abstractNumId w:val="15"/>
  </w:num>
  <w:num w:numId="23" w16cid:durableId="1309751844">
    <w:abstractNumId w:val="10"/>
  </w:num>
  <w:num w:numId="24" w16cid:durableId="150655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48"/>
    <w:rsid w:val="00001349"/>
    <w:rsid w:val="00014DC9"/>
    <w:rsid w:val="00020067"/>
    <w:rsid w:val="00020BB3"/>
    <w:rsid w:val="00024F60"/>
    <w:rsid w:val="00026C42"/>
    <w:rsid w:val="0002738C"/>
    <w:rsid w:val="00031B4D"/>
    <w:rsid w:val="00032E23"/>
    <w:rsid w:val="00033714"/>
    <w:rsid w:val="00040040"/>
    <w:rsid w:val="00040448"/>
    <w:rsid w:val="00052863"/>
    <w:rsid w:val="000766DC"/>
    <w:rsid w:val="00087A4D"/>
    <w:rsid w:val="00090721"/>
    <w:rsid w:val="00091511"/>
    <w:rsid w:val="000A006B"/>
    <w:rsid w:val="000A6495"/>
    <w:rsid w:val="000B2532"/>
    <w:rsid w:val="000B3BCB"/>
    <w:rsid w:val="000B5043"/>
    <w:rsid w:val="000B79D3"/>
    <w:rsid w:val="000D5F8E"/>
    <w:rsid w:val="000E197C"/>
    <w:rsid w:val="000E7391"/>
    <w:rsid w:val="000F06C4"/>
    <w:rsid w:val="000F1C49"/>
    <w:rsid w:val="000F3ADC"/>
    <w:rsid w:val="000F59A5"/>
    <w:rsid w:val="000F6F1A"/>
    <w:rsid w:val="0011451D"/>
    <w:rsid w:val="00127BA6"/>
    <w:rsid w:val="001348B2"/>
    <w:rsid w:val="0013620A"/>
    <w:rsid w:val="001414E9"/>
    <w:rsid w:val="00144F22"/>
    <w:rsid w:val="00145E2B"/>
    <w:rsid w:val="00145F04"/>
    <w:rsid w:val="00147EB0"/>
    <w:rsid w:val="00160431"/>
    <w:rsid w:val="001607EA"/>
    <w:rsid w:val="00160A54"/>
    <w:rsid w:val="00163A67"/>
    <w:rsid w:val="001750AD"/>
    <w:rsid w:val="00175DCA"/>
    <w:rsid w:val="00180882"/>
    <w:rsid w:val="001832C9"/>
    <w:rsid w:val="00185C85"/>
    <w:rsid w:val="00197C39"/>
    <w:rsid w:val="001A2591"/>
    <w:rsid w:val="001A3640"/>
    <w:rsid w:val="001B4D78"/>
    <w:rsid w:val="001C08D4"/>
    <w:rsid w:val="001C523B"/>
    <w:rsid w:val="001D029D"/>
    <w:rsid w:val="001D083E"/>
    <w:rsid w:val="001D3FB9"/>
    <w:rsid w:val="001D57D6"/>
    <w:rsid w:val="001D65D6"/>
    <w:rsid w:val="001E14CE"/>
    <w:rsid w:val="00203D80"/>
    <w:rsid w:val="00212465"/>
    <w:rsid w:val="00221338"/>
    <w:rsid w:val="002259F6"/>
    <w:rsid w:val="00234A67"/>
    <w:rsid w:val="002403F4"/>
    <w:rsid w:val="002417E3"/>
    <w:rsid w:val="002470F0"/>
    <w:rsid w:val="002516F2"/>
    <w:rsid w:val="00254BFA"/>
    <w:rsid w:val="00271E6B"/>
    <w:rsid w:val="00273B7A"/>
    <w:rsid w:val="00277E0E"/>
    <w:rsid w:val="002807A7"/>
    <w:rsid w:val="00280B8A"/>
    <w:rsid w:val="00290AC3"/>
    <w:rsid w:val="00292A38"/>
    <w:rsid w:val="00296F05"/>
    <w:rsid w:val="002A0FC4"/>
    <w:rsid w:val="002A4467"/>
    <w:rsid w:val="002A7C23"/>
    <w:rsid w:val="002B2119"/>
    <w:rsid w:val="002B2740"/>
    <w:rsid w:val="002B563C"/>
    <w:rsid w:val="002D409D"/>
    <w:rsid w:val="002E58B0"/>
    <w:rsid w:val="002E5AA8"/>
    <w:rsid w:val="002F0C63"/>
    <w:rsid w:val="002F0EC7"/>
    <w:rsid w:val="002F5A1C"/>
    <w:rsid w:val="00303AC9"/>
    <w:rsid w:val="00305570"/>
    <w:rsid w:val="003111F0"/>
    <w:rsid w:val="003159CD"/>
    <w:rsid w:val="003168E2"/>
    <w:rsid w:val="00317417"/>
    <w:rsid w:val="0032744E"/>
    <w:rsid w:val="00330AFD"/>
    <w:rsid w:val="0038108D"/>
    <w:rsid w:val="003930EA"/>
    <w:rsid w:val="00393BE3"/>
    <w:rsid w:val="003978E5"/>
    <w:rsid w:val="003A45B0"/>
    <w:rsid w:val="003B2334"/>
    <w:rsid w:val="003B4D12"/>
    <w:rsid w:val="003B753D"/>
    <w:rsid w:val="003C248E"/>
    <w:rsid w:val="003D140F"/>
    <w:rsid w:val="003E07A1"/>
    <w:rsid w:val="003E0CA1"/>
    <w:rsid w:val="003E0CC0"/>
    <w:rsid w:val="003E1A3F"/>
    <w:rsid w:val="003E33C1"/>
    <w:rsid w:val="00403995"/>
    <w:rsid w:val="00421E03"/>
    <w:rsid w:val="00442168"/>
    <w:rsid w:val="004452D5"/>
    <w:rsid w:val="004458FC"/>
    <w:rsid w:val="0044620F"/>
    <w:rsid w:val="00452DF7"/>
    <w:rsid w:val="004557AC"/>
    <w:rsid w:val="0046383C"/>
    <w:rsid w:val="00471356"/>
    <w:rsid w:val="0047252D"/>
    <w:rsid w:val="00474154"/>
    <w:rsid w:val="00475471"/>
    <w:rsid w:val="004822D4"/>
    <w:rsid w:val="004851EA"/>
    <w:rsid w:val="00485476"/>
    <w:rsid w:val="0049773F"/>
    <w:rsid w:val="004A0A70"/>
    <w:rsid w:val="004A757B"/>
    <w:rsid w:val="004A79AA"/>
    <w:rsid w:val="004B2A9B"/>
    <w:rsid w:val="004B7030"/>
    <w:rsid w:val="004C1C16"/>
    <w:rsid w:val="004C339F"/>
    <w:rsid w:val="004C7D63"/>
    <w:rsid w:val="004D5AD9"/>
    <w:rsid w:val="004D7B8A"/>
    <w:rsid w:val="004E0B04"/>
    <w:rsid w:val="004F2193"/>
    <w:rsid w:val="004F56F5"/>
    <w:rsid w:val="00520C2F"/>
    <w:rsid w:val="00521627"/>
    <w:rsid w:val="00521993"/>
    <w:rsid w:val="005230C8"/>
    <w:rsid w:val="0052527A"/>
    <w:rsid w:val="00525498"/>
    <w:rsid w:val="0052684C"/>
    <w:rsid w:val="00531D06"/>
    <w:rsid w:val="00536A78"/>
    <w:rsid w:val="00544191"/>
    <w:rsid w:val="00544226"/>
    <w:rsid w:val="00547CE5"/>
    <w:rsid w:val="00551B4E"/>
    <w:rsid w:val="00555FBC"/>
    <w:rsid w:val="00561AE7"/>
    <w:rsid w:val="00561C0A"/>
    <w:rsid w:val="005651B6"/>
    <w:rsid w:val="00566A8E"/>
    <w:rsid w:val="005702BE"/>
    <w:rsid w:val="00580D5E"/>
    <w:rsid w:val="005826C0"/>
    <w:rsid w:val="005A0917"/>
    <w:rsid w:val="005A62B4"/>
    <w:rsid w:val="005A688D"/>
    <w:rsid w:val="005A6DD0"/>
    <w:rsid w:val="005E358C"/>
    <w:rsid w:val="005E4243"/>
    <w:rsid w:val="005E5D24"/>
    <w:rsid w:val="00611835"/>
    <w:rsid w:val="006152C5"/>
    <w:rsid w:val="00615D93"/>
    <w:rsid w:val="006170E4"/>
    <w:rsid w:val="00633034"/>
    <w:rsid w:val="006345D1"/>
    <w:rsid w:val="00637743"/>
    <w:rsid w:val="00642B44"/>
    <w:rsid w:val="00646137"/>
    <w:rsid w:val="0065390A"/>
    <w:rsid w:val="0066127E"/>
    <w:rsid w:val="00663410"/>
    <w:rsid w:val="0067262F"/>
    <w:rsid w:val="006740A2"/>
    <w:rsid w:val="00674694"/>
    <w:rsid w:val="00677EDD"/>
    <w:rsid w:val="006809E6"/>
    <w:rsid w:val="00687C02"/>
    <w:rsid w:val="00693B25"/>
    <w:rsid w:val="006A7CAA"/>
    <w:rsid w:val="006B7AC1"/>
    <w:rsid w:val="006E0953"/>
    <w:rsid w:val="006F126A"/>
    <w:rsid w:val="006F7A91"/>
    <w:rsid w:val="00703568"/>
    <w:rsid w:val="00710BF6"/>
    <w:rsid w:val="00711BEA"/>
    <w:rsid w:val="00713466"/>
    <w:rsid w:val="00714BF1"/>
    <w:rsid w:val="007206DB"/>
    <w:rsid w:val="00721815"/>
    <w:rsid w:val="00723518"/>
    <w:rsid w:val="007235EF"/>
    <w:rsid w:val="00730EF0"/>
    <w:rsid w:val="00732157"/>
    <w:rsid w:val="00735207"/>
    <w:rsid w:val="00735838"/>
    <w:rsid w:val="007359D6"/>
    <w:rsid w:val="00754606"/>
    <w:rsid w:val="00762A51"/>
    <w:rsid w:val="007676C9"/>
    <w:rsid w:val="007720C9"/>
    <w:rsid w:val="00777AFA"/>
    <w:rsid w:val="00777E4D"/>
    <w:rsid w:val="00781078"/>
    <w:rsid w:val="007B0A92"/>
    <w:rsid w:val="007B0DDB"/>
    <w:rsid w:val="007B10D0"/>
    <w:rsid w:val="007B5D7B"/>
    <w:rsid w:val="007C1D78"/>
    <w:rsid w:val="007C4751"/>
    <w:rsid w:val="007E0ED0"/>
    <w:rsid w:val="007E79B0"/>
    <w:rsid w:val="007F2205"/>
    <w:rsid w:val="007F60BE"/>
    <w:rsid w:val="00805988"/>
    <w:rsid w:val="00812C72"/>
    <w:rsid w:val="00816598"/>
    <w:rsid w:val="00834200"/>
    <w:rsid w:val="008355B4"/>
    <w:rsid w:val="0084451D"/>
    <w:rsid w:val="008529E2"/>
    <w:rsid w:val="008638B0"/>
    <w:rsid w:val="00867732"/>
    <w:rsid w:val="008707D5"/>
    <w:rsid w:val="008714C1"/>
    <w:rsid w:val="00875677"/>
    <w:rsid w:val="00882112"/>
    <w:rsid w:val="00886741"/>
    <w:rsid w:val="008A1004"/>
    <w:rsid w:val="008A1DF7"/>
    <w:rsid w:val="008A58FF"/>
    <w:rsid w:val="008B4412"/>
    <w:rsid w:val="008B5DE2"/>
    <w:rsid w:val="008D36C3"/>
    <w:rsid w:val="008E721C"/>
    <w:rsid w:val="00900CBD"/>
    <w:rsid w:val="009437A0"/>
    <w:rsid w:val="009503FB"/>
    <w:rsid w:val="00950BF7"/>
    <w:rsid w:val="00951647"/>
    <w:rsid w:val="0095421F"/>
    <w:rsid w:val="0095513B"/>
    <w:rsid w:val="00956E08"/>
    <w:rsid w:val="00961FD8"/>
    <w:rsid w:val="00963283"/>
    <w:rsid w:val="00974B68"/>
    <w:rsid w:val="00975FE0"/>
    <w:rsid w:val="00992A25"/>
    <w:rsid w:val="00992CDD"/>
    <w:rsid w:val="009932F8"/>
    <w:rsid w:val="00996DA1"/>
    <w:rsid w:val="009A48A7"/>
    <w:rsid w:val="009A77AA"/>
    <w:rsid w:val="009B343D"/>
    <w:rsid w:val="009B4863"/>
    <w:rsid w:val="009D047F"/>
    <w:rsid w:val="009D2823"/>
    <w:rsid w:val="009D72F4"/>
    <w:rsid w:val="009E465C"/>
    <w:rsid w:val="009E725D"/>
    <w:rsid w:val="009F21E8"/>
    <w:rsid w:val="009F6554"/>
    <w:rsid w:val="00A03C6F"/>
    <w:rsid w:val="00A14593"/>
    <w:rsid w:val="00A15102"/>
    <w:rsid w:val="00A20E87"/>
    <w:rsid w:val="00A27298"/>
    <w:rsid w:val="00A40A40"/>
    <w:rsid w:val="00A412A7"/>
    <w:rsid w:val="00A41A74"/>
    <w:rsid w:val="00A43B82"/>
    <w:rsid w:val="00A46A1C"/>
    <w:rsid w:val="00A5123F"/>
    <w:rsid w:val="00A62EE7"/>
    <w:rsid w:val="00A647A3"/>
    <w:rsid w:val="00A65601"/>
    <w:rsid w:val="00A71B2B"/>
    <w:rsid w:val="00A77962"/>
    <w:rsid w:val="00A83EED"/>
    <w:rsid w:val="00A86766"/>
    <w:rsid w:val="00A96FFD"/>
    <w:rsid w:val="00A97ADB"/>
    <w:rsid w:val="00AA006C"/>
    <w:rsid w:val="00AA3FF7"/>
    <w:rsid w:val="00AB67B9"/>
    <w:rsid w:val="00AC3781"/>
    <w:rsid w:val="00AC5D80"/>
    <w:rsid w:val="00AD7AC8"/>
    <w:rsid w:val="00AE1312"/>
    <w:rsid w:val="00AE5D2D"/>
    <w:rsid w:val="00AE7664"/>
    <w:rsid w:val="00AF189A"/>
    <w:rsid w:val="00AF4D1E"/>
    <w:rsid w:val="00B0186F"/>
    <w:rsid w:val="00B030F0"/>
    <w:rsid w:val="00B13687"/>
    <w:rsid w:val="00B14400"/>
    <w:rsid w:val="00B15A0A"/>
    <w:rsid w:val="00B26077"/>
    <w:rsid w:val="00B26BCD"/>
    <w:rsid w:val="00B316F7"/>
    <w:rsid w:val="00B37730"/>
    <w:rsid w:val="00B51C5F"/>
    <w:rsid w:val="00B544D1"/>
    <w:rsid w:val="00B6213F"/>
    <w:rsid w:val="00B72B92"/>
    <w:rsid w:val="00B76710"/>
    <w:rsid w:val="00B87102"/>
    <w:rsid w:val="00BA14DF"/>
    <w:rsid w:val="00BA662B"/>
    <w:rsid w:val="00BA6FC6"/>
    <w:rsid w:val="00BB46A0"/>
    <w:rsid w:val="00BC4C43"/>
    <w:rsid w:val="00BC5D11"/>
    <w:rsid w:val="00BD0B16"/>
    <w:rsid w:val="00BD5B2B"/>
    <w:rsid w:val="00BD6F01"/>
    <w:rsid w:val="00BE372E"/>
    <w:rsid w:val="00C034A9"/>
    <w:rsid w:val="00C06168"/>
    <w:rsid w:val="00C103B8"/>
    <w:rsid w:val="00C34BB2"/>
    <w:rsid w:val="00C34DEE"/>
    <w:rsid w:val="00C44460"/>
    <w:rsid w:val="00C44821"/>
    <w:rsid w:val="00C5581B"/>
    <w:rsid w:val="00C56C19"/>
    <w:rsid w:val="00C56EC8"/>
    <w:rsid w:val="00C62753"/>
    <w:rsid w:val="00C63818"/>
    <w:rsid w:val="00C639B9"/>
    <w:rsid w:val="00C657BC"/>
    <w:rsid w:val="00C66927"/>
    <w:rsid w:val="00C6738E"/>
    <w:rsid w:val="00C808E8"/>
    <w:rsid w:val="00C80A41"/>
    <w:rsid w:val="00C83AAF"/>
    <w:rsid w:val="00CA1ABF"/>
    <w:rsid w:val="00CB228C"/>
    <w:rsid w:val="00CC093F"/>
    <w:rsid w:val="00CC1B68"/>
    <w:rsid w:val="00CF2826"/>
    <w:rsid w:val="00CF6484"/>
    <w:rsid w:val="00D01FF6"/>
    <w:rsid w:val="00D05922"/>
    <w:rsid w:val="00D13A90"/>
    <w:rsid w:val="00D235E4"/>
    <w:rsid w:val="00D237A6"/>
    <w:rsid w:val="00D25070"/>
    <w:rsid w:val="00D250AF"/>
    <w:rsid w:val="00D25CCF"/>
    <w:rsid w:val="00D2652D"/>
    <w:rsid w:val="00D27CCB"/>
    <w:rsid w:val="00D323E0"/>
    <w:rsid w:val="00D362BA"/>
    <w:rsid w:val="00D415D8"/>
    <w:rsid w:val="00D4575B"/>
    <w:rsid w:val="00D47996"/>
    <w:rsid w:val="00D53F10"/>
    <w:rsid w:val="00D57785"/>
    <w:rsid w:val="00D621C6"/>
    <w:rsid w:val="00D635BA"/>
    <w:rsid w:val="00D64DD7"/>
    <w:rsid w:val="00D65892"/>
    <w:rsid w:val="00D73C14"/>
    <w:rsid w:val="00D74122"/>
    <w:rsid w:val="00D7561D"/>
    <w:rsid w:val="00D80BE8"/>
    <w:rsid w:val="00D85557"/>
    <w:rsid w:val="00D936CC"/>
    <w:rsid w:val="00DC23CD"/>
    <w:rsid w:val="00DC2E71"/>
    <w:rsid w:val="00DD3F1F"/>
    <w:rsid w:val="00DD6946"/>
    <w:rsid w:val="00DD7049"/>
    <w:rsid w:val="00DE261F"/>
    <w:rsid w:val="00E01128"/>
    <w:rsid w:val="00E05B0C"/>
    <w:rsid w:val="00E05EB5"/>
    <w:rsid w:val="00E073E3"/>
    <w:rsid w:val="00E130A6"/>
    <w:rsid w:val="00E14F21"/>
    <w:rsid w:val="00E159E5"/>
    <w:rsid w:val="00E15C8A"/>
    <w:rsid w:val="00E21802"/>
    <w:rsid w:val="00E22473"/>
    <w:rsid w:val="00E23C30"/>
    <w:rsid w:val="00E2609E"/>
    <w:rsid w:val="00E33799"/>
    <w:rsid w:val="00E4483A"/>
    <w:rsid w:val="00E45675"/>
    <w:rsid w:val="00E510F8"/>
    <w:rsid w:val="00E546FD"/>
    <w:rsid w:val="00E631B5"/>
    <w:rsid w:val="00E6577C"/>
    <w:rsid w:val="00E65A9F"/>
    <w:rsid w:val="00E66C75"/>
    <w:rsid w:val="00E66E16"/>
    <w:rsid w:val="00E67B9F"/>
    <w:rsid w:val="00E752F8"/>
    <w:rsid w:val="00E81DBE"/>
    <w:rsid w:val="00E8658E"/>
    <w:rsid w:val="00E919E3"/>
    <w:rsid w:val="00EA5EBB"/>
    <w:rsid w:val="00EA7294"/>
    <w:rsid w:val="00EA7FAB"/>
    <w:rsid w:val="00EB6F8A"/>
    <w:rsid w:val="00EC40D4"/>
    <w:rsid w:val="00EC6252"/>
    <w:rsid w:val="00ED3769"/>
    <w:rsid w:val="00EF34FF"/>
    <w:rsid w:val="00EF3CC4"/>
    <w:rsid w:val="00F1097D"/>
    <w:rsid w:val="00F10D6B"/>
    <w:rsid w:val="00F15322"/>
    <w:rsid w:val="00F16590"/>
    <w:rsid w:val="00F3082D"/>
    <w:rsid w:val="00F3324F"/>
    <w:rsid w:val="00F50CA6"/>
    <w:rsid w:val="00F53530"/>
    <w:rsid w:val="00F57AE0"/>
    <w:rsid w:val="00F6421C"/>
    <w:rsid w:val="00F753C2"/>
    <w:rsid w:val="00F76E89"/>
    <w:rsid w:val="00F771B8"/>
    <w:rsid w:val="00F84AD1"/>
    <w:rsid w:val="00F85D2B"/>
    <w:rsid w:val="00F95237"/>
    <w:rsid w:val="00FA28AD"/>
    <w:rsid w:val="00FA460D"/>
    <w:rsid w:val="00FA72C5"/>
    <w:rsid w:val="00FB4389"/>
    <w:rsid w:val="00FB66C0"/>
    <w:rsid w:val="00FB68BE"/>
    <w:rsid w:val="00FC0630"/>
    <w:rsid w:val="00FC55D8"/>
    <w:rsid w:val="00FD12DF"/>
    <w:rsid w:val="00FE0AF1"/>
    <w:rsid w:val="00FE206A"/>
    <w:rsid w:val="00FE6EC9"/>
    <w:rsid w:val="00FE7685"/>
    <w:rsid w:val="00FF39DB"/>
    <w:rsid w:val="00FF4AA7"/>
    <w:rsid w:val="00FF54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371D"/>
  <w15:docId w15:val="{6826677C-AE82-40E7-93B9-6E0F122A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F53530"/>
    <w:pPr>
      <w:spacing w:before="240" w:after="240" w:line="240" w:lineRule="auto"/>
      <w:jc w:val="center"/>
      <w:outlineLvl w:val="0"/>
    </w:pPr>
    <w:rPr>
      <w:rFonts w:ascii="Times New Roman" w:hAnsi="Times New Roman"/>
      <w:b/>
      <w:bCs/>
      <w:color w:val="2F5496"/>
    </w:rPr>
  </w:style>
  <w:style w:type="paragraph" w:styleId="Ttulo2">
    <w:name w:val="heading 2"/>
    <w:basedOn w:val="Normal"/>
    <w:next w:val="Normal"/>
    <w:link w:val="Ttulo2Car"/>
    <w:uiPriority w:val="9"/>
    <w:unhideWhenUsed/>
    <w:qFormat/>
    <w:rsid w:val="00F53530"/>
    <w:pPr>
      <w:spacing w:before="240" w:after="240" w:line="240" w:lineRule="auto"/>
      <w:jc w:val="center"/>
      <w:outlineLvl w:val="1"/>
    </w:pPr>
    <w:rPr>
      <w:rFonts w:ascii="Times New Roman" w:hAnsi="Times New Roman"/>
      <w:b/>
      <w:bCs/>
      <w:color w:val="00B05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4458FC"/>
    <w:rPr>
      <w:color w:val="0563C1"/>
      <w:u w:val="single"/>
    </w:rPr>
  </w:style>
  <w:style w:type="paragraph" w:customStyle="1" w:styleId="TableParagraph">
    <w:name w:val="Table Paragraph"/>
    <w:basedOn w:val="Normal"/>
    <w:uiPriority w:val="1"/>
    <w:qFormat/>
    <w:rsid w:val="00FB4389"/>
    <w:pPr>
      <w:widowControl w:val="0"/>
      <w:autoSpaceDE w:val="0"/>
      <w:autoSpaceDN w:val="0"/>
      <w:spacing w:after="0" w:line="240" w:lineRule="auto"/>
      <w:ind w:left="56"/>
    </w:pPr>
    <w:rPr>
      <w:rFonts w:ascii="Times New Roman" w:eastAsia="Times New Roman" w:hAnsi="Times New Roman"/>
      <w:lang w:val="es-ES" w:eastAsia="es-ES" w:bidi="es-ES"/>
    </w:rPr>
  </w:style>
  <w:style w:type="character" w:customStyle="1" w:styleId="Ttulo1Car">
    <w:name w:val="Título 1 Car"/>
    <w:link w:val="Ttulo1"/>
    <w:uiPriority w:val="9"/>
    <w:rsid w:val="00F53530"/>
    <w:rPr>
      <w:rFonts w:ascii="Times New Roman" w:hAnsi="Times New Roman"/>
      <w:b/>
      <w:bCs/>
      <w:color w:val="2F5496"/>
      <w:sz w:val="22"/>
      <w:szCs w:val="22"/>
      <w:lang w:eastAsia="en-US"/>
    </w:rPr>
  </w:style>
  <w:style w:type="character" w:customStyle="1" w:styleId="Ttulo2Car">
    <w:name w:val="Título 2 Car"/>
    <w:link w:val="Ttulo2"/>
    <w:uiPriority w:val="9"/>
    <w:rsid w:val="00F53530"/>
    <w:rPr>
      <w:rFonts w:ascii="Times New Roman" w:hAnsi="Times New Roman"/>
      <w:b/>
      <w:bCs/>
      <w:color w:val="00B050"/>
      <w:sz w:val="22"/>
      <w:szCs w:val="22"/>
      <w:lang w:eastAsia="en-US"/>
    </w:rPr>
  </w:style>
  <w:style w:type="character" w:customStyle="1" w:styleId="Mencinsinresolver1">
    <w:name w:val="Mención sin resolver1"/>
    <w:uiPriority w:val="99"/>
    <w:semiHidden/>
    <w:unhideWhenUsed/>
    <w:rsid w:val="00FB68BE"/>
    <w:rPr>
      <w:color w:val="605E5C"/>
      <w:shd w:val="clear" w:color="auto" w:fill="E1DFDD"/>
    </w:rPr>
  </w:style>
  <w:style w:type="paragraph" w:styleId="Textonotaalfinal">
    <w:name w:val="endnote text"/>
    <w:basedOn w:val="Normal"/>
    <w:link w:val="TextonotaalfinalCar"/>
    <w:uiPriority w:val="99"/>
    <w:semiHidden/>
    <w:unhideWhenUsed/>
    <w:rsid w:val="00020067"/>
    <w:rPr>
      <w:sz w:val="20"/>
      <w:szCs w:val="20"/>
    </w:rPr>
  </w:style>
  <w:style w:type="character" w:customStyle="1" w:styleId="TextonotaalfinalCar">
    <w:name w:val="Texto nota al final Car"/>
    <w:link w:val="Textonotaalfinal"/>
    <w:uiPriority w:val="99"/>
    <w:semiHidden/>
    <w:rsid w:val="00020067"/>
    <w:rPr>
      <w:lang w:eastAsia="en-US"/>
    </w:rPr>
  </w:style>
  <w:style w:type="character" w:styleId="Refdenotaalfinal">
    <w:name w:val="endnote reference"/>
    <w:uiPriority w:val="99"/>
    <w:semiHidden/>
    <w:unhideWhenUsed/>
    <w:rsid w:val="00020067"/>
    <w:rPr>
      <w:vertAlign w:val="superscript"/>
    </w:rPr>
  </w:style>
  <w:style w:type="paragraph" w:styleId="Prrafodelista">
    <w:name w:val="List Paragraph"/>
    <w:basedOn w:val="Normal"/>
    <w:uiPriority w:val="34"/>
    <w:qFormat/>
    <w:rsid w:val="002417E3"/>
    <w:pPr>
      <w:ind w:left="720"/>
      <w:contextualSpacing/>
    </w:pPr>
  </w:style>
  <w:style w:type="character" w:styleId="Mencinsinresolver">
    <w:name w:val="Unresolved Mention"/>
    <w:basedOn w:val="Fuentedeprrafopredeter"/>
    <w:uiPriority w:val="99"/>
    <w:semiHidden/>
    <w:unhideWhenUsed/>
    <w:rsid w:val="00241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nlegislacion.com/files/susc/cdj/doct/dian_900827_21.pdf" TargetMode="External"/><Relationship Id="rId21" Type="http://schemas.openxmlformats.org/officeDocument/2006/relationships/hyperlink" Target="https://www.enlegislacion.com/files/susc/cdj/conc/dur_1625_16.docx" TargetMode="External"/><Relationship Id="rId42" Type="http://schemas.openxmlformats.org/officeDocument/2006/relationships/hyperlink" Target="https://www.enlegislacion.com/files/susc/cdj/conc/l_31_92.docx" TargetMode="External"/><Relationship Id="rId63" Type="http://schemas.openxmlformats.org/officeDocument/2006/relationships/hyperlink" Target="https://www.enlegislacion.com/files/susc/cdj/conc/l_1474_11.docx" TargetMode="External"/><Relationship Id="rId84" Type="http://schemas.openxmlformats.org/officeDocument/2006/relationships/hyperlink" Target="https://www.enlegislacion.com/files/susc/cdj/conc/l_89_88.docx" TargetMode="External"/><Relationship Id="rId138" Type="http://schemas.openxmlformats.org/officeDocument/2006/relationships/hyperlink" Target="https://www.enlegislacion.com/files/susc/cdj/doct/dian_2023001328_23.pdf" TargetMode="External"/><Relationship Id="rId159" Type="http://schemas.openxmlformats.org/officeDocument/2006/relationships/hyperlink" Target="https://www.enlegislacion.com/files/susc/cdj/conc/l_1708_14.docx" TargetMode="External"/><Relationship Id="rId170" Type="http://schemas.openxmlformats.org/officeDocument/2006/relationships/hyperlink" Target="https://www.enlegislacion.com/files/susc/cdj/conc/l_19_70.docx" TargetMode="External"/><Relationship Id="rId191" Type="http://schemas.openxmlformats.org/officeDocument/2006/relationships/hyperlink" Target="https://www.enlegislacion.com/files/susc/cdj/juri/sc_507_20.docx" TargetMode="External"/><Relationship Id="rId107" Type="http://schemas.openxmlformats.org/officeDocument/2006/relationships/hyperlink" Target="https://www.enlegislacion.com/files/susc/cdj/conc/l_1430_10.docx" TargetMode="External"/><Relationship Id="rId11" Type="http://schemas.openxmlformats.org/officeDocument/2006/relationships/hyperlink" Target="https://www.enlegislacion.com/files/susc/cdj/juri/sc_203_21.docx" TargetMode="External"/><Relationship Id="rId32" Type="http://schemas.openxmlformats.org/officeDocument/2006/relationships/hyperlink" Target="https://www.enlegislacion.com/files/susc/cdj/conc/l_1943_18.docx" TargetMode="External"/><Relationship Id="rId53" Type="http://schemas.openxmlformats.org/officeDocument/2006/relationships/hyperlink" Target="https://www.enlegislacion.com/files/susc/cdj/doct/dian_913889_21.docx" TargetMode="External"/><Relationship Id="rId74" Type="http://schemas.openxmlformats.org/officeDocument/2006/relationships/hyperlink" Target="https://www.enlegislacion.com/files/susc/cdj/conc/l_546_99.docx" TargetMode="External"/><Relationship Id="rId128" Type="http://schemas.openxmlformats.org/officeDocument/2006/relationships/hyperlink" Target="https://www.enlegislacion.com/files/susc/cdj/conc/r_ugpp_1039_20.pdf" TargetMode="External"/><Relationship Id="rId149" Type="http://schemas.openxmlformats.org/officeDocument/2006/relationships/hyperlink" Target="https://www.enlegislacion.com/files/susc/cdj/conc/l_679_01.docx" TargetMode="External"/><Relationship Id="rId5" Type="http://schemas.openxmlformats.org/officeDocument/2006/relationships/webSettings" Target="webSettings.xml"/><Relationship Id="rId95" Type="http://schemas.openxmlformats.org/officeDocument/2006/relationships/hyperlink" Target="https://www.enlegislacion.com/files/susc/cdj/juri/sc_379_20.docx" TargetMode="External"/><Relationship Id="rId160" Type="http://schemas.openxmlformats.org/officeDocument/2006/relationships/hyperlink" Target="https://www.enlegislacion.com/files/susc/cdj/conc/l_1708_14.docx" TargetMode="External"/><Relationship Id="rId181" Type="http://schemas.openxmlformats.org/officeDocument/2006/relationships/hyperlink" Target="https://www.enlegislacion.com/files/susc/cdj/conc/l_1955_19.docx" TargetMode="External"/><Relationship Id="rId22" Type="http://schemas.openxmlformats.org/officeDocument/2006/relationships/hyperlink" Target="file:///G:\Mis%20Documentos\act\ACTUALIZACION\susc\cdj\conc\dur_1625_16.docx" TargetMode="External"/><Relationship Id="rId43" Type="http://schemas.openxmlformats.org/officeDocument/2006/relationships/hyperlink" Target="https://www.enlegislacion.com/files/susc/cdj/conc/l_9_91.docx" TargetMode="External"/><Relationship Id="rId64" Type="http://schemas.openxmlformats.org/officeDocument/2006/relationships/hyperlink" Target="https://www.enlegislacion.com/files/susc/cdj/conc/l_1563_12.docx" TargetMode="External"/><Relationship Id="rId118" Type="http://schemas.openxmlformats.org/officeDocument/2006/relationships/hyperlink" Target="https://www.enlegislacion.com/files/susc/cdj/doct/dian_91_20.pdf" TargetMode="External"/><Relationship Id="rId139" Type="http://schemas.openxmlformats.org/officeDocument/2006/relationships/hyperlink" Target="https://www.enlegislacion.com/files/susc/cdj/doct/dian_900827_21.pdf" TargetMode="External"/><Relationship Id="rId85" Type="http://schemas.openxmlformats.org/officeDocument/2006/relationships/hyperlink" Target="https://www.enlegislacion.com/files/susc/cdj/conc/l_1715_14.docx" TargetMode="External"/><Relationship Id="rId150" Type="http://schemas.openxmlformats.org/officeDocument/2006/relationships/hyperlink" Target="https://www.enlegislacion.com/files/susc/cdj/conc/l_1101_06.docx" TargetMode="External"/><Relationship Id="rId171" Type="http://schemas.openxmlformats.org/officeDocument/2006/relationships/hyperlink" Target="https://www.enlegislacion.com/files/susc/cdj/conc/l_819_03.docx" TargetMode="External"/><Relationship Id="rId192" Type="http://schemas.openxmlformats.org/officeDocument/2006/relationships/hyperlink" Target="https://www.enlegislacion.com/files/susc/cdj/conc/l_1438_11.docx" TargetMode="External"/><Relationship Id="rId12" Type="http://schemas.openxmlformats.org/officeDocument/2006/relationships/hyperlink" Target="https://www.enlegislacion.com/files/susc/cdj/juri/sc_040_21.docx" TargetMode="External"/><Relationship Id="rId33" Type="http://schemas.openxmlformats.org/officeDocument/2006/relationships/hyperlink" Target="https://www.enlegislacion.com/files/susc/cdj/juri/sc_039_21.docx" TargetMode="External"/><Relationship Id="rId108" Type="http://schemas.openxmlformats.org/officeDocument/2006/relationships/hyperlink" Target="https://www.enlegislacion.com/files/susc/cdj/conc/l_1607_12.docx" TargetMode="External"/><Relationship Id="rId129" Type="http://schemas.openxmlformats.org/officeDocument/2006/relationships/hyperlink" Target="https://www.enlegislacion.com/files/susc/cdj/conc/r_dian_86_20.docx" TargetMode="External"/><Relationship Id="rId54" Type="http://schemas.openxmlformats.org/officeDocument/2006/relationships/hyperlink" Target="https://www.enlegislacion.com/files/susc/cdj/doct/dian_904819_21.pdf" TargetMode="External"/><Relationship Id="rId75" Type="http://schemas.openxmlformats.org/officeDocument/2006/relationships/hyperlink" Target="https://www.enlegislacion.com/files/susc/cdj/conc/l_1943_18.docx" TargetMode="External"/><Relationship Id="rId96" Type="http://schemas.openxmlformats.org/officeDocument/2006/relationships/hyperlink" Target="https://www.enlegislacion.com/files/susc/cdj/conc/l_788_02.docx" TargetMode="External"/><Relationship Id="rId140" Type="http://schemas.openxmlformats.org/officeDocument/2006/relationships/hyperlink" Target="https://www.enlegislacion.com/files/susc/cdj/doct/dian_905684_20.pdf" TargetMode="External"/><Relationship Id="rId161" Type="http://schemas.openxmlformats.org/officeDocument/2006/relationships/hyperlink" Target="https://www.enlegislacion.com/files/susc/cdj/conc/l_1122_07.docx" TargetMode="External"/><Relationship Id="rId182" Type="http://schemas.openxmlformats.org/officeDocument/2006/relationships/hyperlink" Target="https://www.enlegislacion.com/files/susc/cdj/conc/l_2294_23.docx" TargetMode="External"/><Relationship Id="rId6" Type="http://schemas.openxmlformats.org/officeDocument/2006/relationships/footnotes" Target="footnotes.xml"/><Relationship Id="rId23" Type="http://schemas.openxmlformats.org/officeDocument/2006/relationships/hyperlink" Target="file:///G:\Mis%20Documentos\act\ACTUALIZACION\susc\cdj\conc\dl_458_20.docx" TargetMode="External"/><Relationship Id="rId119" Type="http://schemas.openxmlformats.org/officeDocument/2006/relationships/hyperlink" Target="https://www.enlegislacion.com/files/susc/cdj/conc/l_1066_06.docx" TargetMode="External"/><Relationship Id="rId44" Type="http://schemas.openxmlformats.org/officeDocument/2006/relationships/hyperlink" Target="https://www.enlegislacion.com/files/susc/cdj/conc/l_1739_14.docx" TargetMode="External"/><Relationship Id="rId65" Type="http://schemas.openxmlformats.org/officeDocument/2006/relationships/hyperlink" Target="https://www.enlegislacion.com/files/susc/cdj/conc/l_1955_19.docx" TargetMode="External"/><Relationship Id="rId86" Type="http://schemas.openxmlformats.org/officeDocument/2006/relationships/hyperlink" Target="https://www.enlegislacion.com/files/susc/cdj/juri/sc_161_21.docx" TargetMode="External"/><Relationship Id="rId130" Type="http://schemas.openxmlformats.org/officeDocument/2006/relationships/hyperlink" Target="https://www.enlegislacion.com/files/susc/cdj/doct/dian_900827_21.pdf" TargetMode="External"/><Relationship Id="rId151" Type="http://schemas.openxmlformats.org/officeDocument/2006/relationships/hyperlink" Target="https://www.enlegislacion.com/files/susc/cdj/conc/l_1101_06.docx" TargetMode="External"/><Relationship Id="rId172" Type="http://schemas.openxmlformats.org/officeDocument/2006/relationships/hyperlink" Target="https://www.enlegislacion.com/files/susc/cdj/conc/dl_809_20.docx" TargetMode="External"/><Relationship Id="rId193" Type="http://schemas.openxmlformats.org/officeDocument/2006/relationships/hyperlink" Target="https://www.enlegislacion.com/files/susc/cdj/conc/l_1438_11.docx" TargetMode="External"/><Relationship Id="rId13" Type="http://schemas.openxmlformats.org/officeDocument/2006/relationships/hyperlink" Target="https://www.enlegislacion.com/files/susc/cdj/conc/l_223_95.docx" TargetMode="External"/><Relationship Id="rId109" Type="http://schemas.openxmlformats.org/officeDocument/2006/relationships/hyperlink" Target="https://www.enlegislacion.com/files/susc/cdj/conc/l_1739_14.docx" TargetMode="External"/><Relationship Id="rId34" Type="http://schemas.openxmlformats.org/officeDocument/2006/relationships/hyperlink" Target="https://www.enlegislacion.com/files/susc/cdj/conc/dur_1625_16.docx" TargetMode="External"/><Relationship Id="rId55" Type="http://schemas.openxmlformats.org/officeDocument/2006/relationships/hyperlink" Target="https://www.enlegislacion.com/files/susc/cdj/doct/dian_903008_21.pdf" TargetMode="External"/><Relationship Id="rId76" Type="http://schemas.openxmlformats.org/officeDocument/2006/relationships/hyperlink" Target="https://www.enlegislacion.com/files/susc/cdj/conc/l_1943_18.docx" TargetMode="External"/><Relationship Id="rId97" Type="http://schemas.openxmlformats.org/officeDocument/2006/relationships/hyperlink" Target="https://www.enlegislacion.com/files/susc/cdj/conc/l_1819_16.docx" TargetMode="External"/><Relationship Id="rId120" Type="http://schemas.openxmlformats.org/officeDocument/2006/relationships/hyperlink" Target="https://www.enlegislacion.com/files/susc/cdj/conc/l_1175_07.docx" TargetMode="External"/><Relationship Id="rId141" Type="http://schemas.openxmlformats.org/officeDocument/2006/relationships/hyperlink" Target="https://www.enlegislacion.com/files/susc/cdj/doct/dian_905697_20.pdf" TargetMode="External"/><Relationship Id="rId7" Type="http://schemas.openxmlformats.org/officeDocument/2006/relationships/endnotes" Target="endnotes.xml"/><Relationship Id="rId162" Type="http://schemas.openxmlformats.org/officeDocument/2006/relationships/hyperlink" Target="https://www.enlegislacion.com/files/susc/cdj/conc/l_21_82.docx" TargetMode="External"/><Relationship Id="rId183" Type="http://schemas.openxmlformats.org/officeDocument/2006/relationships/hyperlink" Target="https://www.enlegislacion.com/files/susc/cdj/conc/l_1340_09.docx" TargetMode="External"/><Relationship Id="rId2" Type="http://schemas.openxmlformats.org/officeDocument/2006/relationships/numbering" Target="numbering.xml"/><Relationship Id="rId29" Type="http://schemas.openxmlformats.org/officeDocument/2006/relationships/hyperlink" Target="https://www.enlegislacion.com/files/susc/cdj/juri/sc_503_23.docx" TargetMode="External"/><Relationship Id="rId24" Type="http://schemas.openxmlformats.org/officeDocument/2006/relationships/hyperlink" Target="https://www.enlegislacion.com/files/susc/cdj/conc/r_daps_356_22.pdf" TargetMode="External"/><Relationship Id="rId40" Type="http://schemas.openxmlformats.org/officeDocument/2006/relationships/hyperlink" Target="https://www.enlegislacion.com/files/susc/cdj/doct/dian_906392_20.pdf" TargetMode="External"/><Relationship Id="rId45" Type="http://schemas.openxmlformats.org/officeDocument/2006/relationships/hyperlink" Target="https://www.enlegislacion.com/files/susc/cdj/conc/l_1943_18.docx" TargetMode="External"/><Relationship Id="rId66" Type="http://schemas.openxmlformats.org/officeDocument/2006/relationships/hyperlink" Target="https://www.enlegislacion.com/files/susc/cdj/conc/l_1819_16.docx" TargetMode="External"/><Relationship Id="rId87" Type="http://schemas.openxmlformats.org/officeDocument/2006/relationships/hyperlink" Target="https://www.enlegislacion.com/files/susc/cdj/conc/l_1943_18.docx" TargetMode="External"/><Relationship Id="rId110" Type="http://schemas.openxmlformats.org/officeDocument/2006/relationships/hyperlink" Target="https://www.enlegislacion.com/files/susc/cdj/conc/l_1819_16.docx" TargetMode="External"/><Relationship Id="rId115" Type="http://schemas.openxmlformats.org/officeDocument/2006/relationships/hyperlink" Target="https://www.enlegislacion.com/files/susc/cdj/conc/r_ugpp_1039_20.pdf" TargetMode="External"/><Relationship Id="rId131" Type="http://schemas.openxmlformats.org/officeDocument/2006/relationships/hyperlink" Target="https://www.enlegislacion.com/files/susc/cdj/doct/dian_91_20.pdf" TargetMode="External"/><Relationship Id="rId136" Type="http://schemas.openxmlformats.org/officeDocument/2006/relationships/hyperlink" Target="file:///G:\Mis%20Documentos\act\ACTUALIZACION\susc\cdj\conc\dur_1625_16.docx" TargetMode="External"/><Relationship Id="rId157" Type="http://schemas.openxmlformats.org/officeDocument/2006/relationships/hyperlink" Target="https://www.enlegislacion.com/files/susc/cdj/conc/l_1708_14.docx" TargetMode="External"/><Relationship Id="rId178" Type="http://schemas.openxmlformats.org/officeDocument/2006/relationships/hyperlink" Target="https://www.enlegislacion.com/files/susc/cdj/conc/l_1607_12.docx" TargetMode="External"/><Relationship Id="rId61" Type="http://schemas.openxmlformats.org/officeDocument/2006/relationships/hyperlink" Target="https://www.enlegislacion.com/files/susc/cdj/conc/l_1819_16.docx" TargetMode="External"/><Relationship Id="rId82" Type="http://schemas.openxmlformats.org/officeDocument/2006/relationships/hyperlink" Target="https://www.enlegislacion.com/files/susc/cdj/conc/l_21_82.docx" TargetMode="External"/><Relationship Id="rId152" Type="http://schemas.openxmlformats.org/officeDocument/2006/relationships/hyperlink" Target="https://www.enlegislacion.com/files/susc/cdj/conc/dr_1068_15.docx" TargetMode="External"/><Relationship Id="rId173" Type="http://schemas.openxmlformats.org/officeDocument/2006/relationships/hyperlink" Target="https://www.enlegislacion.com/files/susc/cdj/conc/l_1955_19.docx" TargetMode="External"/><Relationship Id="rId194" Type="http://schemas.openxmlformats.org/officeDocument/2006/relationships/hyperlink" Target="https://www.enlegislacion.com/files/susc/cdj/conc/dr_1121_20.docx" TargetMode="External"/><Relationship Id="rId199" Type="http://schemas.openxmlformats.org/officeDocument/2006/relationships/hyperlink" Target="https://www.enlegislacion.com/files/susc/cdj/conc/l_1753_15.docx" TargetMode="External"/><Relationship Id="rId203" Type="http://schemas.openxmlformats.org/officeDocument/2006/relationships/theme" Target="theme/theme1.xml"/><Relationship Id="rId19" Type="http://schemas.openxmlformats.org/officeDocument/2006/relationships/hyperlink" Target="https://www.enlegislacion.com/files/susc/cdj/conc/l_1575_12.docx" TargetMode="External"/><Relationship Id="rId14" Type="http://schemas.openxmlformats.org/officeDocument/2006/relationships/hyperlink" Target="https://www.enlegislacion.com/files/susc/cdj/conc/l_30_92.docx" TargetMode="External"/><Relationship Id="rId30" Type="http://schemas.openxmlformats.org/officeDocument/2006/relationships/hyperlink" Target="https://www.enlegislacion.com/files/susc/cdj/conc/d_3357_09.docx" TargetMode="External"/><Relationship Id="rId35" Type="http://schemas.openxmlformats.org/officeDocument/2006/relationships/hyperlink" Target="https://www.enlegislacion.com/files/susc/cdj/doct/dian_905133_20.pdf" TargetMode="External"/><Relationship Id="rId56" Type="http://schemas.openxmlformats.org/officeDocument/2006/relationships/hyperlink" Target="https://www.enlegislacion.com/files/susc/cdj/conc/l_1607_12.docx" TargetMode="External"/><Relationship Id="rId77" Type="http://schemas.openxmlformats.org/officeDocument/2006/relationships/hyperlink" Target="https://www.enlegislacion.com/files/susc/cdj/conc/l_1943_18.docx" TargetMode="External"/><Relationship Id="rId100" Type="http://schemas.openxmlformats.org/officeDocument/2006/relationships/hyperlink" Target="https://www.enlegislacion.com/files/susc/cdj/conc/d_4050_08.docx" TargetMode="External"/><Relationship Id="rId105" Type="http://schemas.openxmlformats.org/officeDocument/2006/relationships/hyperlink" Target="https://www.enlegislacion.com/files/susc/cdj/conc/l_1066_06.docx" TargetMode="External"/><Relationship Id="rId126" Type="http://schemas.openxmlformats.org/officeDocument/2006/relationships/hyperlink" Target="https://www.enlegislacion.com/files/susc/cdj/conc/dur_1625_16.docx" TargetMode="External"/><Relationship Id="rId147" Type="http://schemas.openxmlformats.org/officeDocument/2006/relationships/hyperlink" Target="https://www.enlegislacion.com/files/susc/cdj/conc/l_1943_18.docx" TargetMode="External"/><Relationship Id="rId168" Type="http://schemas.openxmlformats.org/officeDocument/2006/relationships/hyperlink" Target="https://www.enlegislacion.com/files/susc/cdj/conc/d_690_20.pdf" TargetMode="External"/><Relationship Id="rId8" Type="http://schemas.openxmlformats.org/officeDocument/2006/relationships/hyperlink" Target="https://www.enlegislacion.com/files/susc/cdj/conc/l_1943_18.docx" TargetMode="External"/><Relationship Id="rId51" Type="http://schemas.openxmlformats.org/officeDocument/2006/relationships/hyperlink" Target="https://www.enlegislacion.com/files/susc/cdj/conc/dur_1625_16.docx" TargetMode="External"/><Relationship Id="rId72" Type="http://schemas.openxmlformats.org/officeDocument/2006/relationships/hyperlink" Target="https://www.enlegislacion.com/files/susc/cdj/conc/l_1715_14.docx" TargetMode="External"/><Relationship Id="rId93" Type="http://schemas.openxmlformats.org/officeDocument/2006/relationships/hyperlink" Target="https://www.enlegislacion.com/files/susc/cdj/juri/sc_057_21.docx" TargetMode="External"/><Relationship Id="rId98" Type="http://schemas.openxmlformats.org/officeDocument/2006/relationships/hyperlink" Target="https://www.enlegislacion.com/files/susc/cdj/conc/l_1508_12.docx" TargetMode="External"/><Relationship Id="rId121" Type="http://schemas.openxmlformats.org/officeDocument/2006/relationships/hyperlink" Target="https://www.enlegislacion.com/files/susc/cdj/conc/l_1430_10.docx" TargetMode="External"/><Relationship Id="rId142" Type="http://schemas.openxmlformats.org/officeDocument/2006/relationships/hyperlink" Target="https://www.enlegislacion.com/files/susc/cdj/doct/dian_91_20.pdf" TargetMode="External"/><Relationship Id="rId163" Type="http://schemas.openxmlformats.org/officeDocument/2006/relationships/hyperlink" Target="https://www.enlegislacion.com/files/susc/cdj/conc/l_27_74.docx" TargetMode="External"/><Relationship Id="rId184" Type="http://schemas.openxmlformats.org/officeDocument/2006/relationships/hyperlink" Target="https://www.enlegislacion.com/files/susc/cdj/conc/l_1340_09.docx" TargetMode="External"/><Relationship Id="rId189" Type="http://schemas.openxmlformats.org/officeDocument/2006/relationships/hyperlink" Target="https://www.enlegislacion.com/files/susc/cdj/conc/r_sic_2103_21.pdf" TargetMode="External"/><Relationship Id="rId3" Type="http://schemas.openxmlformats.org/officeDocument/2006/relationships/styles" Target="styles.xml"/><Relationship Id="rId25" Type="http://schemas.openxmlformats.org/officeDocument/2006/relationships/hyperlink" Target="https://www.enlegislacion.com/files/susc/cdj/doct/dian_3453_20.pdf" TargetMode="External"/><Relationship Id="rId46" Type="http://schemas.openxmlformats.org/officeDocument/2006/relationships/hyperlink" Target="https://www.enlegislacion.com/files/susc/cdj/conc/l_1943_18.docx" TargetMode="External"/><Relationship Id="rId67" Type="http://schemas.openxmlformats.org/officeDocument/2006/relationships/hyperlink" Target="https://www.enlegislacion.com/files/susc/cdj/conc/l_1819_16.docx" TargetMode="External"/><Relationship Id="rId116" Type="http://schemas.openxmlformats.org/officeDocument/2006/relationships/hyperlink" Target="https://www.enlegislacion.com/files/susc/cdj/conc/r_dian_86_20.docx" TargetMode="External"/><Relationship Id="rId137" Type="http://schemas.openxmlformats.org/officeDocument/2006/relationships/hyperlink" Target="https://www.enlegislacion.com/files/susc/cdj/conc/dl_688_20.docx" TargetMode="External"/><Relationship Id="rId158" Type="http://schemas.openxmlformats.org/officeDocument/2006/relationships/hyperlink" Target="https://www.enlegislacion.com/files/susc/cdj/conc/l_1615_13.docx" TargetMode="External"/><Relationship Id="rId20" Type="http://schemas.openxmlformats.org/officeDocument/2006/relationships/hyperlink" Target="https://www.enlegislacion.com/files/susc/cdj/juri/sc_040_21.docx" TargetMode="External"/><Relationship Id="rId41" Type="http://schemas.openxmlformats.org/officeDocument/2006/relationships/hyperlink" Target="https://www.enlegislacion.com/files/susc/cdj/doct/dian_905133_20.pdf" TargetMode="External"/><Relationship Id="rId62" Type="http://schemas.openxmlformats.org/officeDocument/2006/relationships/hyperlink" Target="https://www.enlegislacion.com/files/susc/cdj/conc/l_1819_16.docx" TargetMode="External"/><Relationship Id="rId83" Type="http://schemas.openxmlformats.org/officeDocument/2006/relationships/hyperlink" Target="https://www.enlegislacion.com/files/susc/cdj/conc/l_27_74.docx" TargetMode="External"/><Relationship Id="rId88" Type="http://schemas.openxmlformats.org/officeDocument/2006/relationships/hyperlink" Target="https://www.enlegislacion.com/files/susc/cdj/conc/l_1943_18.docx" TargetMode="External"/><Relationship Id="rId111" Type="http://schemas.openxmlformats.org/officeDocument/2006/relationships/hyperlink" Target="https://www.enlegislacion.com/files/susc/cdj/conc/l_1943_18.docx" TargetMode="External"/><Relationship Id="rId132" Type="http://schemas.openxmlformats.org/officeDocument/2006/relationships/hyperlink" Target="https://www.enlegislacion.com/files/susc/cdj/juri/e_05764_00(pi)_21.docx" TargetMode="External"/><Relationship Id="rId153" Type="http://schemas.openxmlformats.org/officeDocument/2006/relationships/hyperlink" Target="https://www.enlegislacion.com/files/susc/cdj/conc/circ_dian_10_22.docx" TargetMode="External"/><Relationship Id="rId174" Type="http://schemas.openxmlformats.org/officeDocument/2006/relationships/hyperlink" Target="https://www.enlegislacion.com/files/susc/cdj/conc/l_1819_16.docx" TargetMode="External"/><Relationship Id="rId179" Type="http://schemas.openxmlformats.org/officeDocument/2006/relationships/hyperlink" Target="https://www.enlegislacion.com/files/susc/cdj/juri/sc_500_24com52.docx" TargetMode="External"/><Relationship Id="rId195" Type="http://schemas.openxmlformats.org/officeDocument/2006/relationships/hyperlink" Target="https://www.enlegislacion.com/files/susc/cdj/conc/l_1819_16.docx" TargetMode="External"/><Relationship Id="rId190" Type="http://schemas.openxmlformats.org/officeDocument/2006/relationships/hyperlink" Target="https://www.enlegislacion.com/files/susc/cdj/conc/r_sic_77896_20.pdf" TargetMode="External"/><Relationship Id="rId15" Type="http://schemas.openxmlformats.org/officeDocument/2006/relationships/hyperlink" Target="https://www.enlegislacion.com/files/susc/cdj/conc/l_115_94.docx" TargetMode="External"/><Relationship Id="rId36" Type="http://schemas.openxmlformats.org/officeDocument/2006/relationships/hyperlink" Target="https://www.enlegislacion.com/files/susc/cdj/conc/dur_1625_16.docx" TargetMode="External"/><Relationship Id="rId57" Type="http://schemas.openxmlformats.org/officeDocument/2006/relationships/hyperlink" Target="https://www.enlegislacion.com/files/susc/cdj/conc/dr_1848_13.docx" TargetMode="External"/><Relationship Id="rId106" Type="http://schemas.openxmlformats.org/officeDocument/2006/relationships/hyperlink" Target="https://www.enlegislacion.com/files/susc/cdj/conc/l_1175_07.docx" TargetMode="External"/><Relationship Id="rId127" Type="http://schemas.openxmlformats.org/officeDocument/2006/relationships/hyperlink" Target="https://www.enlegislacion.com/files/susc/cdj/conc/dl_688_20.docx" TargetMode="External"/><Relationship Id="rId10" Type="http://schemas.openxmlformats.org/officeDocument/2006/relationships/hyperlink" Target="https://www.enlegislacion.com/files/susc/cdj/juri/sc_503_23.docx" TargetMode="External"/><Relationship Id="rId31" Type="http://schemas.openxmlformats.org/officeDocument/2006/relationships/hyperlink" Target="https://www.enlegislacion.com/files/susc/cdj/conc/dr_1068_15.docx" TargetMode="External"/><Relationship Id="rId52" Type="http://schemas.openxmlformats.org/officeDocument/2006/relationships/hyperlink" Target="https://www.enlegislacion.com/files/susc/cdj/doct/dian_2023003343_23.pdf" TargetMode="External"/><Relationship Id="rId73" Type="http://schemas.openxmlformats.org/officeDocument/2006/relationships/hyperlink" Target="https://www.enlegislacion.com/files/susc/cdj/conc/dr_2755_03.docx" TargetMode="External"/><Relationship Id="rId78" Type="http://schemas.openxmlformats.org/officeDocument/2006/relationships/hyperlink" Target="https://www.enlegislacion.com/files/susc/cdj/conc/dr_841_98.docx" TargetMode="External"/><Relationship Id="rId94" Type="http://schemas.openxmlformats.org/officeDocument/2006/relationships/hyperlink" Target="https://www.enlegislacion.com/files/susc/cdj/juri/sc_040_21.docx" TargetMode="External"/><Relationship Id="rId99" Type="http://schemas.openxmlformats.org/officeDocument/2006/relationships/hyperlink" Target="https://www.enlegislacion.com/files/susc/cdj/conc/l_1819_16.docx" TargetMode="External"/><Relationship Id="rId101" Type="http://schemas.openxmlformats.org/officeDocument/2006/relationships/hyperlink" Target="https://www.enlegislacion.com/files/susc/cdj/conc/l_1943_18.docx" TargetMode="External"/><Relationship Id="rId122" Type="http://schemas.openxmlformats.org/officeDocument/2006/relationships/hyperlink" Target="https://www.enlegislacion.com/files/susc/cdj/conc/l_1607_12.docx" TargetMode="External"/><Relationship Id="rId143" Type="http://schemas.openxmlformats.org/officeDocument/2006/relationships/hyperlink" Target="https://www.enlegislacion.com/files/susc/cdj/conc/l_1607_12.docx" TargetMode="External"/><Relationship Id="rId148" Type="http://schemas.openxmlformats.org/officeDocument/2006/relationships/hyperlink" Target="https://www.enlegislacion.com/files/susc/cdj/conc/l_1943_18.docx" TargetMode="External"/><Relationship Id="rId164" Type="http://schemas.openxmlformats.org/officeDocument/2006/relationships/hyperlink" Target="https://www.enlegislacion.com/files/susc/cdj/conc/l_89_88.docx" TargetMode="External"/><Relationship Id="rId169" Type="http://schemas.openxmlformats.org/officeDocument/2006/relationships/hyperlink" Target="https://www.enlegislacion.com/files/susc/cdj/conc/l_223_95.docx" TargetMode="External"/><Relationship Id="rId185" Type="http://schemas.openxmlformats.org/officeDocument/2006/relationships/hyperlink" Target="https://www.enlegislacion.com/files/susc/cdj/conc/r_sic_1111_25.pdf" TargetMode="External"/><Relationship Id="rId4" Type="http://schemas.openxmlformats.org/officeDocument/2006/relationships/settings" Target="settings.xml"/><Relationship Id="rId9" Type="http://schemas.openxmlformats.org/officeDocument/2006/relationships/hyperlink" Target="https://www.enlegislacion.com/files/susc/cdj/conc/l_98_93.docx" TargetMode="External"/><Relationship Id="rId180" Type="http://schemas.openxmlformats.org/officeDocument/2006/relationships/hyperlink" Target="https://www.enlegislacion.com/files/susc/cdj/conc/l_2277_22.docx" TargetMode="External"/><Relationship Id="rId26" Type="http://schemas.openxmlformats.org/officeDocument/2006/relationships/hyperlink" Target="https://www.enlegislacion.com/files/susc/cdj/conc/dl_682_20.docx" TargetMode="External"/><Relationship Id="rId47" Type="http://schemas.openxmlformats.org/officeDocument/2006/relationships/hyperlink" Target="https://www.enlegislacion.com/files/susc/cdj/conc/r_dian_45_20.pdf" TargetMode="External"/><Relationship Id="rId68" Type="http://schemas.openxmlformats.org/officeDocument/2006/relationships/hyperlink" Target="https://www.enlegislacion.com/files/susc/cdj/conc/l_70_93.docx" TargetMode="External"/><Relationship Id="rId89" Type="http://schemas.openxmlformats.org/officeDocument/2006/relationships/hyperlink" Target="https://www.enlegislacion.com/files/susc/cdj/conc/l_1943_18.docx" TargetMode="External"/><Relationship Id="rId112" Type="http://schemas.openxmlformats.org/officeDocument/2006/relationships/hyperlink" Target="https://www.enlegislacion.com/files/susc/cdj/conc/dur_1625_16.docx" TargetMode="External"/><Relationship Id="rId133" Type="http://schemas.openxmlformats.org/officeDocument/2006/relationships/hyperlink" Target="https://www.enlegislacion.com/files/susc/cdj/conc/l_1819_16.docx" TargetMode="External"/><Relationship Id="rId154" Type="http://schemas.openxmlformats.org/officeDocument/2006/relationships/hyperlink" Target="https://www.enlegislacion.com/files/susc/cdj/conc/dl_16_14.docx" TargetMode="External"/><Relationship Id="rId175" Type="http://schemas.openxmlformats.org/officeDocument/2006/relationships/hyperlink" Target="https://www.enlegislacion.com/files/susc/cdj/conc/dr_1068_15.docx" TargetMode="External"/><Relationship Id="rId196" Type="http://schemas.openxmlformats.org/officeDocument/2006/relationships/hyperlink" Target="https://www.enlegislacion.com/files/susc/cdj/conc/r_cne_1_15.docx" TargetMode="External"/><Relationship Id="rId200" Type="http://schemas.openxmlformats.org/officeDocument/2006/relationships/hyperlink" Target="https://www.enlegislacion.com/files/susc/cdj/conc/l_1819_16.docx" TargetMode="External"/><Relationship Id="rId16" Type="http://schemas.openxmlformats.org/officeDocument/2006/relationships/hyperlink" Target="https://www.enlegislacion.com/files/susc/cdj/conc/l_1493_11.docx" TargetMode="External"/><Relationship Id="rId37" Type="http://schemas.openxmlformats.org/officeDocument/2006/relationships/hyperlink" Target="https://www.enlegislacion.com/files/susc/cdj/doct/dian_905133_20.pdf" TargetMode="External"/><Relationship Id="rId58" Type="http://schemas.openxmlformats.org/officeDocument/2006/relationships/hyperlink" Target="https://www.enlegislacion.com/files/susc/cdj/juri/sc_345_22.docx" TargetMode="External"/><Relationship Id="rId79" Type="http://schemas.openxmlformats.org/officeDocument/2006/relationships/hyperlink" Target="https://www.enlegislacion.com/files/susc/cdj/conc/l_2319_23.pdf" TargetMode="External"/><Relationship Id="rId102" Type="http://schemas.openxmlformats.org/officeDocument/2006/relationships/hyperlink" Target="https://www.enlegislacion.com/files/susc/cdj/conc/l_1943_18.docx" TargetMode="External"/><Relationship Id="rId123" Type="http://schemas.openxmlformats.org/officeDocument/2006/relationships/hyperlink" Target="https://www.enlegislacion.com/files/susc/cdj/conc/l_1739_14.docx" TargetMode="External"/><Relationship Id="rId144" Type="http://schemas.openxmlformats.org/officeDocument/2006/relationships/hyperlink" Target="https://www.enlegislacion.com/files/susc/cdj/conc/l_1819_16.docx" TargetMode="External"/><Relationship Id="rId90" Type="http://schemas.openxmlformats.org/officeDocument/2006/relationships/hyperlink" Target="https://www.enlegislacion.com/files/susc/cdj/conc/l_1943_18.docx" TargetMode="External"/><Relationship Id="rId165" Type="http://schemas.openxmlformats.org/officeDocument/2006/relationships/hyperlink" Target="https://www.enlegislacion.com/files/susc/cdj/conc/r_mhcp_1046_20.docx" TargetMode="External"/><Relationship Id="rId186" Type="http://schemas.openxmlformats.org/officeDocument/2006/relationships/hyperlink" Target="https://www.enlegislacion.com/files/susc/cdj/conc/r_sic_17526_24.pdf" TargetMode="External"/><Relationship Id="rId27" Type="http://schemas.openxmlformats.org/officeDocument/2006/relationships/hyperlink" Target="https://www.enlegislacion.com/files/susc/cdj/conc/dl_682_20.docx" TargetMode="External"/><Relationship Id="rId48" Type="http://schemas.openxmlformats.org/officeDocument/2006/relationships/hyperlink" Target="https://www.enlegislacion.com/files/susc/cdj/doct/dian_909037_21.pdf" TargetMode="External"/><Relationship Id="rId69" Type="http://schemas.openxmlformats.org/officeDocument/2006/relationships/hyperlink" Target="https://www.enlegislacion.com/files/susc/cdj/conc/l_2319_23.pdf" TargetMode="External"/><Relationship Id="rId113" Type="http://schemas.openxmlformats.org/officeDocument/2006/relationships/hyperlink" Target="https://www.enlegislacion.com/files/susc/cdj/conc/dr_1068_15.docx" TargetMode="External"/><Relationship Id="rId134" Type="http://schemas.openxmlformats.org/officeDocument/2006/relationships/hyperlink" Target="https://www.enlegislacion.com/files/susc/cdj/conc/l_1819_16.docx" TargetMode="External"/><Relationship Id="rId80" Type="http://schemas.openxmlformats.org/officeDocument/2006/relationships/hyperlink" Target="https://www.enlegislacion.com/files/susc/cdj/conc/l_98_93.docx" TargetMode="External"/><Relationship Id="rId155" Type="http://schemas.openxmlformats.org/officeDocument/2006/relationships/hyperlink" Target="https://www.enlegislacion.com/files/susc/cdj/conc/dl_898_17.docx" TargetMode="External"/><Relationship Id="rId176" Type="http://schemas.openxmlformats.org/officeDocument/2006/relationships/hyperlink" Target="https://www.enlegislacion.com/files/susc/cdj/conc/dr_1068_15.docx" TargetMode="External"/><Relationship Id="rId197" Type="http://schemas.openxmlformats.org/officeDocument/2006/relationships/hyperlink" Target="https://www.enlegislacion.com/files/susc/cdj/conc/r_dian_44_20.docx" TargetMode="External"/><Relationship Id="rId201" Type="http://schemas.openxmlformats.org/officeDocument/2006/relationships/hyperlink" Target="https://www.enlegislacion.com/files/susc/cdj/conc/l_1943_18.docx" TargetMode="External"/><Relationship Id="rId17" Type="http://schemas.openxmlformats.org/officeDocument/2006/relationships/hyperlink" Target="https://www.enlegislacion.com/files/susc/cdj/conc/dl_1228_95.docx" TargetMode="External"/><Relationship Id="rId38" Type="http://schemas.openxmlformats.org/officeDocument/2006/relationships/hyperlink" Target="https://www.enlegislacion.com/files/susc/cdj/conc/dur_1625_16.docx" TargetMode="External"/><Relationship Id="rId59" Type="http://schemas.openxmlformats.org/officeDocument/2006/relationships/hyperlink" Target="https://www.enlegislacion.com/files/susc/cdj/juri/st_109_21.docx" TargetMode="External"/><Relationship Id="rId103" Type="http://schemas.openxmlformats.org/officeDocument/2006/relationships/hyperlink" Target="https://www.enlegislacion.com/files/susc/cdj/conc/d_3568_11.docx" TargetMode="External"/><Relationship Id="rId124" Type="http://schemas.openxmlformats.org/officeDocument/2006/relationships/hyperlink" Target="https://www.enlegislacion.com/files/susc/cdj/conc/l_1819_16.docx" TargetMode="External"/><Relationship Id="rId70" Type="http://schemas.openxmlformats.org/officeDocument/2006/relationships/hyperlink" Target="https://www.enlegislacion.com/files/susc/cdj/conc/l_2319_23.pdf" TargetMode="External"/><Relationship Id="rId91" Type="http://schemas.openxmlformats.org/officeDocument/2006/relationships/hyperlink" Target="https://www.enlegislacion.com/files/susc/cdj/conc/l_1943_18.docx" TargetMode="External"/><Relationship Id="rId145" Type="http://schemas.openxmlformats.org/officeDocument/2006/relationships/hyperlink" Target="https://www.enlegislacion.com/files/susc/cdj/conc/dr_1083_15.docx" TargetMode="External"/><Relationship Id="rId166" Type="http://schemas.openxmlformats.org/officeDocument/2006/relationships/hyperlink" Target="https://www.enlegislacion.com/files/susc/cdj/conc/l_788_02.docx" TargetMode="External"/><Relationship Id="rId187" Type="http://schemas.openxmlformats.org/officeDocument/2006/relationships/hyperlink" Target="https://www.enlegislacion.com/files/susc/cdj/conc/r_sic_632_23.pdf" TargetMode="External"/><Relationship Id="rId1" Type="http://schemas.openxmlformats.org/officeDocument/2006/relationships/customXml" Target="../customXml/item1.xml"/><Relationship Id="rId28" Type="http://schemas.openxmlformats.org/officeDocument/2006/relationships/hyperlink" Target="https://www.enlegislacion.com/files/susc/cdj/conc/dl_682_20.docx" TargetMode="External"/><Relationship Id="rId49" Type="http://schemas.openxmlformats.org/officeDocument/2006/relationships/hyperlink" Target="https://www.enlegislacion.com/files/susc/cdj/doct/dian_544_20.pdf" TargetMode="External"/><Relationship Id="rId114" Type="http://schemas.openxmlformats.org/officeDocument/2006/relationships/hyperlink" Target="https://www.enlegislacion.com/files/susc/cdj/conc/dl_688_20.docx" TargetMode="External"/><Relationship Id="rId60" Type="http://schemas.openxmlformats.org/officeDocument/2006/relationships/hyperlink" Target="https://www.enlegislacion.com/files/susc/cdj/juri/sc_066_21.docx" TargetMode="External"/><Relationship Id="rId81" Type="http://schemas.openxmlformats.org/officeDocument/2006/relationships/hyperlink" Target="https://www.enlegislacion.com/files/susc/cdj/conc/l_1122_07.docx" TargetMode="External"/><Relationship Id="rId135" Type="http://schemas.openxmlformats.org/officeDocument/2006/relationships/hyperlink" Target="https://www.enlegislacion.com/files/susc/cdj/conc/l_1819_16.docx" TargetMode="External"/><Relationship Id="rId156" Type="http://schemas.openxmlformats.org/officeDocument/2006/relationships/hyperlink" Target="https://www.enlegislacion.com/files/susc/cdj/conc/l_1708_14.docx" TargetMode="External"/><Relationship Id="rId177" Type="http://schemas.openxmlformats.org/officeDocument/2006/relationships/hyperlink" Target="https://www.enlegislacion.com/files/susc/cdj/conc/l_1430_10.docx" TargetMode="External"/><Relationship Id="rId198" Type="http://schemas.openxmlformats.org/officeDocument/2006/relationships/hyperlink" Target="https://www.enlegislacion.com/files/susc/cdj/conc/l_223_95.docx" TargetMode="External"/><Relationship Id="rId202" Type="http://schemas.openxmlformats.org/officeDocument/2006/relationships/fontTable" Target="fontTable.xml"/><Relationship Id="rId18" Type="http://schemas.openxmlformats.org/officeDocument/2006/relationships/hyperlink" Target="https://www.enlegislacion.com/files/susc/cdj/doct/dian_207_20.docx" TargetMode="External"/><Relationship Id="rId39" Type="http://schemas.openxmlformats.org/officeDocument/2006/relationships/hyperlink" Target="https://www.enlegislacion.com/files/susc/cdj/doct/dian_909037_21.pdf" TargetMode="External"/><Relationship Id="rId50" Type="http://schemas.openxmlformats.org/officeDocument/2006/relationships/hyperlink" Target="https://www.enlegislacion.com/files/susc/cdj/conc/dr_2669_12.docx" TargetMode="External"/><Relationship Id="rId104" Type="http://schemas.openxmlformats.org/officeDocument/2006/relationships/hyperlink" Target="https://www.enlegislacion.com/files/susc/cdj/conc/l_446_98.docx" TargetMode="External"/><Relationship Id="rId125" Type="http://schemas.openxmlformats.org/officeDocument/2006/relationships/hyperlink" Target="https://www.enlegislacion.com/files/susc/cdj/conc/l_1943_18.docx" TargetMode="External"/><Relationship Id="rId146" Type="http://schemas.openxmlformats.org/officeDocument/2006/relationships/hyperlink" Target="https://www.enlegislacion.com/files/susc/cdj/conc/dl_71_20.docx" TargetMode="External"/><Relationship Id="rId167" Type="http://schemas.openxmlformats.org/officeDocument/2006/relationships/hyperlink" Target="https://www.enlegislacion.com/files/susc/cdj/conc/l_1955_19.docx" TargetMode="External"/><Relationship Id="rId188" Type="http://schemas.openxmlformats.org/officeDocument/2006/relationships/hyperlink" Target="https://www.enlegislacion.com/files/susc/cdj/conc/r_sic_916_22.pdf" TargetMode="External"/><Relationship Id="rId71" Type="http://schemas.openxmlformats.org/officeDocument/2006/relationships/hyperlink" Target="https://www.enlegislacion.com/files/susc/cdj/conc/l_1943_18.docx" TargetMode="External"/><Relationship Id="rId92" Type="http://schemas.openxmlformats.org/officeDocument/2006/relationships/hyperlink" Target="https://www.enlegislacion.com/files/susc/cdj/conc/l_1943_18.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B40FB-624C-41DA-A35D-19DAA920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125</Pages>
  <Words>63198</Words>
  <Characters>347595</Characters>
  <Application>Microsoft Office Word</Application>
  <DocSecurity>0</DocSecurity>
  <Lines>2896</Lines>
  <Paragraphs>819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409974</CharactersWithSpaces>
  <SharedDoc>false</SharedDoc>
  <HyperlinkBase>https://www.enlegislacion.com/files/susc/cdj/conc/</HyperlinkBase>
  <HLinks>
    <vt:vector size="1140" baseType="variant">
      <vt:variant>
        <vt:i4>2424938</vt:i4>
      </vt:variant>
      <vt:variant>
        <vt:i4>567</vt:i4>
      </vt:variant>
      <vt:variant>
        <vt:i4>0</vt:i4>
      </vt:variant>
      <vt:variant>
        <vt:i4>5</vt:i4>
      </vt:variant>
      <vt:variant>
        <vt:lpwstr>l_1943_18.doc</vt:lpwstr>
      </vt:variant>
      <vt:variant>
        <vt:lpwstr/>
      </vt:variant>
      <vt:variant>
        <vt:i4>3014753</vt:i4>
      </vt:variant>
      <vt:variant>
        <vt:i4>564</vt:i4>
      </vt:variant>
      <vt:variant>
        <vt:i4>0</vt:i4>
      </vt:variant>
      <vt:variant>
        <vt:i4>5</vt:i4>
      </vt:variant>
      <vt:variant>
        <vt:lpwstr>l_1819_16.doc</vt:lpwstr>
      </vt:variant>
      <vt:variant>
        <vt:lpwstr/>
      </vt:variant>
      <vt:variant>
        <vt:i4>2818150</vt:i4>
      </vt:variant>
      <vt:variant>
        <vt:i4>561</vt:i4>
      </vt:variant>
      <vt:variant>
        <vt:i4>0</vt:i4>
      </vt:variant>
      <vt:variant>
        <vt:i4>5</vt:i4>
      </vt:variant>
      <vt:variant>
        <vt:lpwstr>l_1753_15.doc</vt:lpwstr>
      </vt:variant>
      <vt:variant>
        <vt:lpwstr/>
      </vt:variant>
      <vt:variant>
        <vt:i4>21</vt:i4>
      </vt:variant>
      <vt:variant>
        <vt:i4>558</vt:i4>
      </vt:variant>
      <vt:variant>
        <vt:i4>0</vt:i4>
      </vt:variant>
      <vt:variant>
        <vt:i4>5</vt:i4>
      </vt:variant>
      <vt:variant>
        <vt:lpwstr>l_223_95.doc</vt:lpwstr>
      </vt:variant>
      <vt:variant>
        <vt:lpwstr/>
      </vt:variant>
      <vt:variant>
        <vt:i4>262255</vt:i4>
      </vt:variant>
      <vt:variant>
        <vt:i4>555</vt:i4>
      </vt:variant>
      <vt:variant>
        <vt:i4>0</vt:i4>
      </vt:variant>
      <vt:variant>
        <vt:i4>5</vt:i4>
      </vt:variant>
      <vt:variant>
        <vt:lpwstr>r_dian_44_20.doc</vt:lpwstr>
      </vt:variant>
      <vt:variant>
        <vt:lpwstr/>
      </vt:variant>
      <vt:variant>
        <vt:i4>196661</vt:i4>
      </vt:variant>
      <vt:variant>
        <vt:i4>552</vt:i4>
      </vt:variant>
      <vt:variant>
        <vt:i4>0</vt:i4>
      </vt:variant>
      <vt:variant>
        <vt:i4>5</vt:i4>
      </vt:variant>
      <vt:variant>
        <vt:lpwstr>r_cne_1_15.doc</vt:lpwstr>
      </vt:variant>
      <vt:variant>
        <vt:lpwstr/>
      </vt:variant>
      <vt:variant>
        <vt:i4>3014753</vt:i4>
      </vt:variant>
      <vt:variant>
        <vt:i4>549</vt:i4>
      </vt:variant>
      <vt:variant>
        <vt:i4>0</vt:i4>
      </vt:variant>
      <vt:variant>
        <vt:i4>5</vt:i4>
      </vt:variant>
      <vt:variant>
        <vt:lpwstr>l_1819_16.doc</vt:lpwstr>
      </vt:variant>
      <vt:variant>
        <vt:lpwstr/>
      </vt:variant>
      <vt:variant>
        <vt:i4>1638472</vt:i4>
      </vt:variant>
      <vt:variant>
        <vt:i4>546</vt:i4>
      </vt:variant>
      <vt:variant>
        <vt:i4>0</vt:i4>
      </vt:variant>
      <vt:variant>
        <vt:i4>5</vt:i4>
      </vt:variant>
      <vt:variant>
        <vt:lpwstr>dr_1121_20.doc</vt:lpwstr>
      </vt:variant>
      <vt:variant>
        <vt:lpwstr/>
      </vt:variant>
      <vt:variant>
        <vt:i4>2293860</vt:i4>
      </vt:variant>
      <vt:variant>
        <vt:i4>543</vt:i4>
      </vt:variant>
      <vt:variant>
        <vt:i4>0</vt:i4>
      </vt:variant>
      <vt:variant>
        <vt:i4>5</vt:i4>
      </vt:variant>
      <vt:variant>
        <vt:lpwstr>l_1438_11.doc</vt:lpwstr>
      </vt:variant>
      <vt:variant>
        <vt:lpwstr/>
      </vt:variant>
      <vt:variant>
        <vt:i4>2293860</vt:i4>
      </vt:variant>
      <vt:variant>
        <vt:i4>540</vt:i4>
      </vt:variant>
      <vt:variant>
        <vt:i4>0</vt:i4>
      </vt:variant>
      <vt:variant>
        <vt:i4>5</vt:i4>
      </vt:variant>
      <vt:variant>
        <vt:lpwstr>l_1438_11.doc</vt:lpwstr>
      </vt:variant>
      <vt:variant>
        <vt:lpwstr/>
      </vt:variant>
      <vt:variant>
        <vt:i4>720906</vt:i4>
      </vt:variant>
      <vt:variant>
        <vt:i4>537</vt:i4>
      </vt:variant>
      <vt:variant>
        <vt:i4>0</vt:i4>
      </vt:variant>
      <vt:variant>
        <vt:i4>5</vt:i4>
      </vt:variant>
      <vt:variant>
        <vt:lpwstr>../juri/sc_507_20.doc</vt:lpwstr>
      </vt:variant>
      <vt:variant>
        <vt:lpwstr/>
      </vt:variant>
      <vt:variant>
        <vt:i4>1966115</vt:i4>
      </vt:variant>
      <vt:variant>
        <vt:i4>534</vt:i4>
      </vt:variant>
      <vt:variant>
        <vt:i4>0</vt:i4>
      </vt:variant>
      <vt:variant>
        <vt:i4>5</vt:i4>
      </vt:variant>
      <vt:variant>
        <vt:lpwstr>r_sic_77896_20.pdf</vt:lpwstr>
      </vt:variant>
      <vt:variant>
        <vt:lpwstr/>
      </vt:variant>
      <vt:variant>
        <vt:i4>1245310</vt:i4>
      </vt:variant>
      <vt:variant>
        <vt:i4>531</vt:i4>
      </vt:variant>
      <vt:variant>
        <vt:i4>0</vt:i4>
      </vt:variant>
      <vt:variant>
        <vt:i4>5</vt:i4>
      </vt:variant>
      <vt:variant>
        <vt:lpwstr>r_sic_2103_21.pdf</vt:lpwstr>
      </vt:variant>
      <vt:variant>
        <vt:lpwstr/>
      </vt:variant>
      <vt:variant>
        <vt:i4>2293781</vt:i4>
      </vt:variant>
      <vt:variant>
        <vt:i4>528</vt:i4>
      </vt:variant>
      <vt:variant>
        <vt:i4>0</vt:i4>
      </vt:variant>
      <vt:variant>
        <vt:i4>5</vt:i4>
      </vt:variant>
      <vt:variant>
        <vt:lpwstr>r_sic_916_22.pdf</vt:lpwstr>
      </vt:variant>
      <vt:variant>
        <vt:lpwstr/>
      </vt:variant>
      <vt:variant>
        <vt:i4>2097182</vt:i4>
      </vt:variant>
      <vt:variant>
        <vt:i4>525</vt:i4>
      </vt:variant>
      <vt:variant>
        <vt:i4>0</vt:i4>
      </vt:variant>
      <vt:variant>
        <vt:i4>5</vt:i4>
      </vt:variant>
      <vt:variant>
        <vt:lpwstr>r_sic_632_23.pdf</vt:lpwstr>
      </vt:variant>
      <vt:variant>
        <vt:lpwstr/>
      </vt:variant>
      <vt:variant>
        <vt:i4>2949227</vt:i4>
      </vt:variant>
      <vt:variant>
        <vt:i4>522</vt:i4>
      </vt:variant>
      <vt:variant>
        <vt:i4>0</vt:i4>
      </vt:variant>
      <vt:variant>
        <vt:i4>5</vt:i4>
      </vt:variant>
      <vt:variant>
        <vt:lpwstr>l_1340_09.doc</vt:lpwstr>
      </vt:variant>
      <vt:variant>
        <vt:lpwstr/>
      </vt:variant>
      <vt:variant>
        <vt:i4>2949227</vt:i4>
      </vt:variant>
      <vt:variant>
        <vt:i4>519</vt:i4>
      </vt:variant>
      <vt:variant>
        <vt:i4>0</vt:i4>
      </vt:variant>
      <vt:variant>
        <vt:i4>5</vt:i4>
      </vt:variant>
      <vt:variant>
        <vt:lpwstr>l_1340_09.doc</vt:lpwstr>
      </vt:variant>
      <vt:variant>
        <vt:lpwstr/>
      </vt:variant>
      <vt:variant>
        <vt:i4>2752623</vt:i4>
      </vt:variant>
      <vt:variant>
        <vt:i4>516</vt:i4>
      </vt:variant>
      <vt:variant>
        <vt:i4>0</vt:i4>
      </vt:variant>
      <vt:variant>
        <vt:i4>5</vt:i4>
      </vt:variant>
      <vt:variant>
        <vt:lpwstr>l_2294_23.doc</vt:lpwstr>
      </vt:variant>
      <vt:variant>
        <vt:lpwstr/>
      </vt:variant>
      <vt:variant>
        <vt:i4>2293866</vt:i4>
      </vt:variant>
      <vt:variant>
        <vt:i4>513</vt:i4>
      </vt:variant>
      <vt:variant>
        <vt:i4>0</vt:i4>
      </vt:variant>
      <vt:variant>
        <vt:i4>5</vt:i4>
      </vt:variant>
      <vt:variant>
        <vt:lpwstr>l_1955_19.doc</vt:lpwstr>
      </vt:variant>
      <vt:variant>
        <vt:lpwstr/>
      </vt:variant>
      <vt:variant>
        <vt:i4>2687072</vt:i4>
      </vt:variant>
      <vt:variant>
        <vt:i4>510</vt:i4>
      </vt:variant>
      <vt:variant>
        <vt:i4>0</vt:i4>
      </vt:variant>
      <vt:variant>
        <vt:i4>5</vt:i4>
      </vt:variant>
      <vt:variant>
        <vt:lpwstr>l_2277_22.doc</vt:lpwstr>
      </vt:variant>
      <vt:variant>
        <vt:lpwstr/>
      </vt:variant>
      <vt:variant>
        <vt:i4>3014756</vt:i4>
      </vt:variant>
      <vt:variant>
        <vt:i4>507</vt:i4>
      </vt:variant>
      <vt:variant>
        <vt:i4>0</vt:i4>
      </vt:variant>
      <vt:variant>
        <vt:i4>5</vt:i4>
      </vt:variant>
      <vt:variant>
        <vt:lpwstr>l_1607_12.doc</vt:lpwstr>
      </vt:variant>
      <vt:variant>
        <vt:lpwstr/>
      </vt:variant>
      <vt:variant>
        <vt:i4>2818149</vt:i4>
      </vt:variant>
      <vt:variant>
        <vt:i4>504</vt:i4>
      </vt:variant>
      <vt:variant>
        <vt:i4>0</vt:i4>
      </vt:variant>
      <vt:variant>
        <vt:i4>5</vt:i4>
      </vt:variant>
      <vt:variant>
        <vt:lpwstr>l_1430_10.doc</vt:lpwstr>
      </vt:variant>
      <vt:variant>
        <vt:lpwstr/>
      </vt:variant>
      <vt:variant>
        <vt:i4>1572931</vt:i4>
      </vt:variant>
      <vt:variant>
        <vt:i4>501</vt:i4>
      </vt:variant>
      <vt:variant>
        <vt:i4>0</vt:i4>
      </vt:variant>
      <vt:variant>
        <vt:i4>5</vt:i4>
      </vt:variant>
      <vt:variant>
        <vt:lpwstr>dr_1068_15.doc</vt:lpwstr>
      </vt:variant>
      <vt:variant>
        <vt:lpwstr/>
      </vt:variant>
      <vt:variant>
        <vt:i4>1572931</vt:i4>
      </vt:variant>
      <vt:variant>
        <vt:i4>498</vt:i4>
      </vt:variant>
      <vt:variant>
        <vt:i4>0</vt:i4>
      </vt:variant>
      <vt:variant>
        <vt:i4>5</vt:i4>
      </vt:variant>
      <vt:variant>
        <vt:lpwstr>dr_1068_15.doc</vt:lpwstr>
      </vt:variant>
      <vt:variant>
        <vt:lpwstr/>
      </vt:variant>
      <vt:variant>
        <vt:i4>3014753</vt:i4>
      </vt:variant>
      <vt:variant>
        <vt:i4>495</vt:i4>
      </vt:variant>
      <vt:variant>
        <vt:i4>0</vt:i4>
      </vt:variant>
      <vt:variant>
        <vt:i4>5</vt:i4>
      </vt:variant>
      <vt:variant>
        <vt:lpwstr>l_1819_16.doc</vt:lpwstr>
      </vt:variant>
      <vt:variant>
        <vt:lpwstr/>
      </vt:variant>
      <vt:variant>
        <vt:i4>2293866</vt:i4>
      </vt:variant>
      <vt:variant>
        <vt:i4>492</vt:i4>
      </vt:variant>
      <vt:variant>
        <vt:i4>0</vt:i4>
      </vt:variant>
      <vt:variant>
        <vt:i4>5</vt:i4>
      </vt:variant>
      <vt:variant>
        <vt:lpwstr>l_1955_19.doc</vt:lpwstr>
      </vt:variant>
      <vt:variant>
        <vt:lpwstr/>
      </vt:variant>
      <vt:variant>
        <vt:i4>1966080</vt:i4>
      </vt:variant>
      <vt:variant>
        <vt:i4>489</vt:i4>
      </vt:variant>
      <vt:variant>
        <vt:i4>0</vt:i4>
      </vt:variant>
      <vt:variant>
        <vt:i4>5</vt:i4>
      </vt:variant>
      <vt:variant>
        <vt:lpwstr>dl_809_20.doc</vt:lpwstr>
      </vt:variant>
      <vt:variant>
        <vt:lpwstr/>
      </vt:variant>
      <vt:variant>
        <vt:i4>327708</vt:i4>
      </vt:variant>
      <vt:variant>
        <vt:i4>486</vt:i4>
      </vt:variant>
      <vt:variant>
        <vt:i4>0</vt:i4>
      </vt:variant>
      <vt:variant>
        <vt:i4>5</vt:i4>
      </vt:variant>
      <vt:variant>
        <vt:lpwstr>l_819_03.doc</vt:lpwstr>
      </vt:variant>
      <vt:variant>
        <vt:lpwstr/>
      </vt:variant>
      <vt:variant>
        <vt:i4>1048662</vt:i4>
      </vt:variant>
      <vt:variant>
        <vt:i4>483</vt:i4>
      </vt:variant>
      <vt:variant>
        <vt:i4>0</vt:i4>
      </vt:variant>
      <vt:variant>
        <vt:i4>5</vt:i4>
      </vt:variant>
      <vt:variant>
        <vt:lpwstr>l_19_70.doc</vt:lpwstr>
      </vt:variant>
      <vt:variant>
        <vt:lpwstr/>
      </vt:variant>
      <vt:variant>
        <vt:i4>21</vt:i4>
      </vt:variant>
      <vt:variant>
        <vt:i4>480</vt:i4>
      </vt:variant>
      <vt:variant>
        <vt:i4>0</vt:i4>
      </vt:variant>
      <vt:variant>
        <vt:i4>5</vt:i4>
      </vt:variant>
      <vt:variant>
        <vt:lpwstr>l_223_95.doc</vt:lpwstr>
      </vt:variant>
      <vt:variant>
        <vt:lpwstr/>
      </vt:variant>
      <vt:variant>
        <vt:i4>2031642</vt:i4>
      </vt:variant>
      <vt:variant>
        <vt:i4>477</vt:i4>
      </vt:variant>
      <vt:variant>
        <vt:i4>0</vt:i4>
      </vt:variant>
      <vt:variant>
        <vt:i4>5</vt:i4>
      </vt:variant>
      <vt:variant>
        <vt:lpwstr>d_690_20.pdf</vt:lpwstr>
      </vt:variant>
      <vt:variant>
        <vt:lpwstr/>
      </vt:variant>
      <vt:variant>
        <vt:i4>2293866</vt:i4>
      </vt:variant>
      <vt:variant>
        <vt:i4>474</vt:i4>
      </vt:variant>
      <vt:variant>
        <vt:i4>0</vt:i4>
      </vt:variant>
      <vt:variant>
        <vt:i4>5</vt:i4>
      </vt:variant>
      <vt:variant>
        <vt:lpwstr>l_1955_19.doc</vt:lpwstr>
      </vt:variant>
      <vt:variant>
        <vt:lpwstr/>
      </vt:variant>
      <vt:variant>
        <vt:i4>851986</vt:i4>
      </vt:variant>
      <vt:variant>
        <vt:i4>471</vt:i4>
      </vt:variant>
      <vt:variant>
        <vt:i4>0</vt:i4>
      </vt:variant>
      <vt:variant>
        <vt:i4>5</vt:i4>
      </vt:variant>
      <vt:variant>
        <vt:lpwstr>l_788_02.doc</vt:lpwstr>
      </vt:variant>
      <vt:variant>
        <vt:lpwstr/>
      </vt:variant>
      <vt:variant>
        <vt:i4>2752598</vt:i4>
      </vt:variant>
      <vt:variant>
        <vt:i4>468</vt:i4>
      </vt:variant>
      <vt:variant>
        <vt:i4>0</vt:i4>
      </vt:variant>
      <vt:variant>
        <vt:i4>5</vt:i4>
      </vt:variant>
      <vt:variant>
        <vt:lpwstr>r_mhcp_1046_20.doc</vt:lpwstr>
      </vt:variant>
      <vt:variant>
        <vt:lpwstr/>
      </vt:variant>
      <vt:variant>
        <vt:i4>2031703</vt:i4>
      </vt:variant>
      <vt:variant>
        <vt:i4>465</vt:i4>
      </vt:variant>
      <vt:variant>
        <vt:i4>0</vt:i4>
      </vt:variant>
      <vt:variant>
        <vt:i4>5</vt:i4>
      </vt:variant>
      <vt:variant>
        <vt:lpwstr>l_89_88.doc</vt:lpwstr>
      </vt:variant>
      <vt:variant>
        <vt:lpwstr/>
      </vt:variant>
      <vt:variant>
        <vt:i4>1966161</vt:i4>
      </vt:variant>
      <vt:variant>
        <vt:i4>462</vt:i4>
      </vt:variant>
      <vt:variant>
        <vt:i4>0</vt:i4>
      </vt:variant>
      <vt:variant>
        <vt:i4>5</vt:i4>
      </vt:variant>
      <vt:variant>
        <vt:lpwstr>l_27_74.doc</vt:lpwstr>
      </vt:variant>
      <vt:variant>
        <vt:lpwstr/>
      </vt:variant>
      <vt:variant>
        <vt:i4>1507415</vt:i4>
      </vt:variant>
      <vt:variant>
        <vt:i4>459</vt:i4>
      </vt:variant>
      <vt:variant>
        <vt:i4>0</vt:i4>
      </vt:variant>
      <vt:variant>
        <vt:i4>5</vt:i4>
      </vt:variant>
      <vt:variant>
        <vt:lpwstr>l_21_82.doc</vt:lpwstr>
      </vt:variant>
      <vt:variant>
        <vt:lpwstr/>
      </vt:variant>
      <vt:variant>
        <vt:i4>2949219</vt:i4>
      </vt:variant>
      <vt:variant>
        <vt:i4>456</vt:i4>
      </vt:variant>
      <vt:variant>
        <vt:i4>0</vt:i4>
      </vt:variant>
      <vt:variant>
        <vt:i4>5</vt:i4>
      </vt:variant>
      <vt:variant>
        <vt:lpwstr>l_1122_07.doc</vt:lpwstr>
      </vt:variant>
      <vt:variant>
        <vt:lpwstr/>
      </vt:variant>
      <vt:variant>
        <vt:i4>2097250</vt:i4>
      </vt:variant>
      <vt:variant>
        <vt:i4>453</vt:i4>
      </vt:variant>
      <vt:variant>
        <vt:i4>0</vt:i4>
      </vt:variant>
      <vt:variant>
        <vt:i4>5</vt:i4>
      </vt:variant>
      <vt:variant>
        <vt:lpwstr>l_1708_14.doc</vt:lpwstr>
      </vt:variant>
      <vt:variant>
        <vt:lpwstr/>
      </vt:variant>
      <vt:variant>
        <vt:i4>2097250</vt:i4>
      </vt:variant>
      <vt:variant>
        <vt:i4>450</vt:i4>
      </vt:variant>
      <vt:variant>
        <vt:i4>0</vt:i4>
      </vt:variant>
      <vt:variant>
        <vt:i4>5</vt:i4>
      </vt:variant>
      <vt:variant>
        <vt:lpwstr>l_1708_14.doc</vt:lpwstr>
      </vt:variant>
      <vt:variant>
        <vt:lpwstr/>
      </vt:variant>
      <vt:variant>
        <vt:i4>2883684</vt:i4>
      </vt:variant>
      <vt:variant>
        <vt:i4>447</vt:i4>
      </vt:variant>
      <vt:variant>
        <vt:i4>0</vt:i4>
      </vt:variant>
      <vt:variant>
        <vt:i4>5</vt:i4>
      </vt:variant>
      <vt:variant>
        <vt:lpwstr>l_1615_13.doc</vt:lpwstr>
      </vt:variant>
      <vt:variant>
        <vt:lpwstr/>
      </vt:variant>
      <vt:variant>
        <vt:i4>2097250</vt:i4>
      </vt:variant>
      <vt:variant>
        <vt:i4>444</vt:i4>
      </vt:variant>
      <vt:variant>
        <vt:i4>0</vt:i4>
      </vt:variant>
      <vt:variant>
        <vt:i4>5</vt:i4>
      </vt:variant>
      <vt:variant>
        <vt:lpwstr>l_1708_14.doc</vt:lpwstr>
      </vt:variant>
      <vt:variant>
        <vt:lpwstr/>
      </vt:variant>
      <vt:variant>
        <vt:i4>2097250</vt:i4>
      </vt:variant>
      <vt:variant>
        <vt:i4>441</vt:i4>
      </vt:variant>
      <vt:variant>
        <vt:i4>0</vt:i4>
      </vt:variant>
      <vt:variant>
        <vt:i4>5</vt:i4>
      </vt:variant>
      <vt:variant>
        <vt:lpwstr>l_1708_14.doc</vt:lpwstr>
      </vt:variant>
      <vt:variant>
        <vt:lpwstr/>
      </vt:variant>
      <vt:variant>
        <vt:i4>1835022</vt:i4>
      </vt:variant>
      <vt:variant>
        <vt:i4>438</vt:i4>
      </vt:variant>
      <vt:variant>
        <vt:i4>0</vt:i4>
      </vt:variant>
      <vt:variant>
        <vt:i4>5</vt:i4>
      </vt:variant>
      <vt:variant>
        <vt:lpwstr>dl_898_17.doc</vt:lpwstr>
      </vt:variant>
      <vt:variant>
        <vt:lpwstr/>
      </vt:variant>
      <vt:variant>
        <vt:i4>3211389</vt:i4>
      </vt:variant>
      <vt:variant>
        <vt:i4>435</vt:i4>
      </vt:variant>
      <vt:variant>
        <vt:i4>0</vt:i4>
      </vt:variant>
      <vt:variant>
        <vt:i4>5</vt:i4>
      </vt:variant>
      <vt:variant>
        <vt:lpwstr>dl_16_14.doc</vt:lpwstr>
      </vt:variant>
      <vt:variant>
        <vt:lpwstr/>
      </vt:variant>
      <vt:variant>
        <vt:i4>1245297</vt:i4>
      </vt:variant>
      <vt:variant>
        <vt:i4>432</vt:i4>
      </vt:variant>
      <vt:variant>
        <vt:i4>0</vt:i4>
      </vt:variant>
      <vt:variant>
        <vt:i4>5</vt:i4>
      </vt:variant>
      <vt:variant>
        <vt:lpwstr>circ_dian_10_22.doc</vt:lpwstr>
      </vt:variant>
      <vt:variant>
        <vt:lpwstr/>
      </vt:variant>
      <vt:variant>
        <vt:i4>1572931</vt:i4>
      </vt:variant>
      <vt:variant>
        <vt:i4>429</vt:i4>
      </vt:variant>
      <vt:variant>
        <vt:i4>0</vt:i4>
      </vt:variant>
      <vt:variant>
        <vt:i4>5</vt:i4>
      </vt:variant>
      <vt:variant>
        <vt:lpwstr>dr_1068_15.doc</vt:lpwstr>
      </vt:variant>
      <vt:variant>
        <vt:lpwstr/>
      </vt:variant>
      <vt:variant>
        <vt:i4>3014752</vt:i4>
      </vt:variant>
      <vt:variant>
        <vt:i4>426</vt:i4>
      </vt:variant>
      <vt:variant>
        <vt:i4>0</vt:i4>
      </vt:variant>
      <vt:variant>
        <vt:i4>5</vt:i4>
      </vt:variant>
      <vt:variant>
        <vt:lpwstr>l_1101_06.doc</vt:lpwstr>
      </vt:variant>
      <vt:variant>
        <vt:lpwstr/>
      </vt:variant>
      <vt:variant>
        <vt:i4>3014752</vt:i4>
      </vt:variant>
      <vt:variant>
        <vt:i4>423</vt:i4>
      </vt:variant>
      <vt:variant>
        <vt:i4>0</vt:i4>
      </vt:variant>
      <vt:variant>
        <vt:i4>5</vt:i4>
      </vt:variant>
      <vt:variant>
        <vt:lpwstr>l_1101_06.doc</vt:lpwstr>
      </vt:variant>
      <vt:variant>
        <vt:lpwstr/>
      </vt:variant>
      <vt:variant>
        <vt:i4>65554</vt:i4>
      </vt:variant>
      <vt:variant>
        <vt:i4>420</vt:i4>
      </vt:variant>
      <vt:variant>
        <vt:i4>0</vt:i4>
      </vt:variant>
      <vt:variant>
        <vt:i4>5</vt:i4>
      </vt:variant>
      <vt:variant>
        <vt:lpwstr>l_679_01.doc</vt:lpwstr>
      </vt:variant>
      <vt:variant>
        <vt:lpwstr/>
      </vt:variant>
      <vt:variant>
        <vt:i4>2424938</vt:i4>
      </vt:variant>
      <vt:variant>
        <vt:i4>417</vt:i4>
      </vt:variant>
      <vt:variant>
        <vt:i4>0</vt:i4>
      </vt:variant>
      <vt:variant>
        <vt:i4>5</vt:i4>
      </vt:variant>
      <vt:variant>
        <vt:lpwstr>l_1943_18.doc</vt:lpwstr>
      </vt:variant>
      <vt:variant>
        <vt:lpwstr/>
      </vt:variant>
      <vt:variant>
        <vt:i4>2424938</vt:i4>
      </vt:variant>
      <vt:variant>
        <vt:i4>414</vt:i4>
      </vt:variant>
      <vt:variant>
        <vt:i4>0</vt:i4>
      </vt:variant>
      <vt:variant>
        <vt:i4>5</vt:i4>
      </vt:variant>
      <vt:variant>
        <vt:lpwstr>l_1943_18.doc</vt:lpwstr>
      </vt:variant>
      <vt:variant>
        <vt:lpwstr/>
      </vt:variant>
      <vt:variant>
        <vt:i4>3342457</vt:i4>
      </vt:variant>
      <vt:variant>
        <vt:i4>411</vt:i4>
      </vt:variant>
      <vt:variant>
        <vt:i4>0</vt:i4>
      </vt:variant>
      <vt:variant>
        <vt:i4>5</vt:i4>
      </vt:variant>
      <vt:variant>
        <vt:lpwstr>dl_71_20.doc</vt:lpwstr>
      </vt:variant>
      <vt:variant>
        <vt:lpwstr/>
      </vt:variant>
      <vt:variant>
        <vt:i4>1441864</vt:i4>
      </vt:variant>
      <vt:variant>
        <vt:i4>408</vt:i4>
      </vt:variant>
      <vt:variant>
        <vt:i4>0</vt:i4>
      </vt:variant>
      <vt:variant>
        <vt:i4>5</vt:i4>
      </vt:variant>
      <vt:variant>
        <vt:lpwstr>dr_1083_15.doc</vt:lpwstr>
      </vt:variant>
      <vt:variant>
        <vt:lpwstr/>
      </vt:variant>
      <vt:variant>
        <vt:i4>3014753</vt:i4>
      </vt:variant>
      <vt:variant>
        <vt:i4>405</vt:i4>
      </vt:variant>
      <vt:variant>
        <vt:i4>0</vt:i4>
      </vt:variant>
      <vt:variant>
        <vt:i4>5</vt:i4>
      </vt:variant>
      <vt:variant>
        <vt:lpwstr>l_1819_16.doc</vt:lpwstr>
      </vt:variant>
      <vt:variant>
        <vt:lpwstr/>
      </vt:variant>
      <vt:variant>
        <vt:i4>3014756</vt:i4>
      </vt:variant>
      <vt:variant>
        <vt:i4>402</vt:i4>
      </vt:variant>
      <vt:variant>
        <vt:i4>0</vt:i4>
      </vt:variant>
      <vt:variant>
        <vt:i4>5</vt:i4>
      </vt:variant>
      <vt:variant>
        <vt:lpwstr>l_1607_12.doc</vt:lpwstr>
      </vt:variant>
      <vt:variant>
        <vt:lpwstr/>
      </vt:variant>
      <vt:variant>
        <vt:i4>4259849</vt:i4>
      </vt:variant>
      <vt:variant>
        <vt:i4>399</vt:i4>
      </vt:variant>
      <vt:variant>
        <vt:i4>0</vt:i4>
      </vt:variant>
      <vt:variant>
        <vt:i4>5</vt:i4>
      </vt:variant>
      <vt:variant>
        <vt:lpwstr>../doct/dian_91_20.pdf</vt:lpwstr>
      </vt:variant>
      <vt:variant>
        <vt:lpwstr/>
      </vt:variant>
      <vt:variant>
        <vt:i4>5046281</vt:i4>
      </vt:variant>
      <vt:variant>
        <vt:i4>396</vt:i4>
      </vt:variant>
      <vt:variant>
        <vt:i4>0</vt:i4>
      </vt:variant>
      <vt:variant>
        <vt:i4>5</vt:i4>
      </vt:variant>
      <vt:variant>
        <vt:lpwstr>../doct/dian_905697_20.pdf</vt:lpwstr>
      </vt:variant>
      <vt:variant>
        <vt:lpwstr/>
      </vt:variant>
      <vt:variant>
        <vt:i4>4980746</vt:i4>
      </vt:variant>
      <vt:variant>
        <vt:i4>393</vt:i4>
      </vt:variant>
      <vt:variant>
        <vt:i4>0</vt:i4>
      </vt:variant>
      <vt:variant>
        <vt:i4>5</vt:i4>
      </vt:variant>
      <vt:variant>
        <vt:lpwstr>../doct/dian_905684_20.pdf</vt:lpwstr>
      </vt:variant>
      <vt:variant>
        <vt:lpwstr/>
      </vt:variant>
      <vt:variant>
        <vt:i4>4325383</vt:i4>
      </vt:variant>
      <vt:variant>
        <vt:i4>390</vt:i4>
      </vt:variant>
      <vt:variant>
        <vt:i4>0</vt:i4>
      </vt:variant>
      <vt:variant>
        <vt:i4>5</vt:i4>
      </vt:variant>
      <vt:variant>
        <vt:lpwstr>../doct/dian_900827_21.pdf</vt:lpwstr>
      </vt:variant>
      <vt:variant>
        <vt:lpwstr/>
      </vt:variant>
      <vt:variant>
        <vt:i4>4718592</vt:i4>
      </vt:variant>
      <vt:variant>
        <vt:i4>387</vt:i4>
      </vt:variant>
      <vt:variant>
        <vt:i4>0</vt:i4>
      </vt:variant>
      <vt:variant>
        <vt:i4>5</vt:i4>
      </vt:variant>
      <vt:variant>
        <vt:lpwstr>../doct/dian_2023001328_23.pdf</vt:lpwstr>
      </vt:variant>
      <vt:variant>
        <vt:lpwstr/>
      </vt:variant>
      <vt:variant>
        <vt:i4>1114120</vt:i4>
      </vt:variant>
      <vt:variant>
        <vt:i4>384</vt:i4>
      </vt:variant>
      <vt:variant>
        <vt:i4>0</vt:i4>
      </vt:variant>
      <vt:variant>
        <vt:i4>5</vt:i4>
      </vt:variant>
      <vt:variant>
        <vt:lpwstr>dl_688_20.doc</vt:lpwstr>
      </vt:variant>
      <vt:variant>
        <vt:lpwstr/>
      </vt:variant>
      <vt:variant>
        <vt:i4>7012372</vt:i4>
      </vt:variant>
      <vt:variant>
        <vt:i4>381</vt:i4>
      </vt:variant>
      <vt:variant>
        <vt:i4>0</vt:i4>
      </vt:variant>
      <vt:variant>
        <vt:i4>5</vt:i4>
      </vt:variant>
      <vt:variant>
        <vt:lpwstr>G:\Mis Documentos\act\ACTUALIZACION\susc\cdj\conc\dur_1625_16.doc</vt:lpwstr>
      </vt:variant>
      <vt:variant>
        <vt:lpwstr/>
      </vt:variant>
      <vt:variant>
        <vt:i4>3014753</vt:i4>
      </vt:variant>
      <vt:variant>
        <vt:i4>378</vt:i4>
      </vt:variant>
      <vt:variant>
        <vt:i4>0</vt:i4>
      </vt:variant>
      <vt:variant>
        <vt:i4>5</vt:i4>
      </vt:variant>
      <vt:variant>
        <vt:lpwstr>l_1819_16.doc</vt:lpwstr>
      </vt:variant>
      <vt:variant>
        <vt:lpwstr/>
      </vt:variant>
      <vt:variant>
        <vt:i4>3014753</vt:i4>
      </vt:variant>
      <vt:variant>
        <vt:i4>375</vt:i4>
      </vt:variant>
      <vt:variant>
        <vt:i4>0</vt:i4>
      </vt:variant>
      <vt:variant>
        <vt:i4>5</vt:i4>
      </vt:variant>
      <vt:variant>
        <vt:lpwstr>l_1819_16.doc</vt:lpwstr>
      </vt:variant>
      <vt:variant>
        <vt:lpwstr/>
      </vt:variant>
      <vt:variant>
        <vt:i4>3014753</vt:i4>
      </vt:variant>
      <vt:variant>
        <vt:i4>372</vt:i4>
      </vt:variant>
      <vt:variant>
        <vt:i4>0</vt:i4>
      </vt:variant>
      <vt:variant>
        <vt:i4>5</vt:i4>
      </vt:variant>
      <vt:variant>
        <vt:lpwstr>l_1819_16.doc</vt:lpwstr>
      </vt:variant>
      <vt:variant>
        <vt:lpwstr/>
      </vt:variant>
      <vt:variant>
        <vt:i4>48</vt:i4>
      </vt:variant>
      <vt:variant>
        <vt:i4>369</vt:i4>
      </vt:variant>
      <vt:variant>
        <vt:i4>0</vt:i4>
      </vt:variant>
      <vt:variant>
        <vt:i4>5</vt:i4>
      </vt:variant>
      <vt:variant>
        <vt:lpwstr>../juri/e_05764_00(pi)_21.doc</vt:lpwstr>
      </vt:variant>
      <vt:variant>
        <vt:lpwstr/>
      </vt:variant>
      <vt:variant>
        <vt:i4>4259849</vt:i4>
      </vt:variant>
      <vt:variant>
        <vt:i4>366</vt:i4>
      </vt:variant>
      <vt:variant>
        <vt:i4>0</vt:i4>
      </vt:variant>
      <vt:variant>
        <vt:i4>5</vt:i4>
      </vt:variant>
      <vt:variant>
        <vt:lpwstr>../doct/dian_91_20.pdf</vt:lpwstr>
      </vt:variant>
      <vt:variant>
        <vt:lpwstr/>
      </vt:variant>
      <vt:variant>
        <vt:i4>4325383</vt:i4>
      </vt:variant>
      <vt:variant>
        <vt:i4>363</vt:i4>
      </vt:variant>
      <vt:variant>
        <vt:i4>0</vt:i4>
      </vt:variant>
      <vt:variant>
        <vt:i4>5</vt:i4>
      </vt:variant>
      <vt:variant>
        <vt:lpwstr>../doct/dian_900827_21.pdf</vt:lpwstr>
      </vt:variant>
      <vt:variant>
        <vt:lpwstr/>
      </vt:variant>
      <vt:variant>
        <vt:i4>524397</vt:i4>
      </vt:variant>
      <vt:variant>
        <vt:i4>360</vt:i4>
      </vt:variant>
      <vt:variant>
        <vt:i4>0</vt:i4>
      </vt:variant>
      <vt:variant>
        <vt:i4>5</vt:i4>
      </vt:variant>
      <vt:variant>
        <vt:lpwstr>r_dian_86_20.doc</vt:lpwstr>
      </vt:variant>
      <vt:variant>
        <vt:lpwstr/>
      </vt:variant>
      <vt:variant>
        <vt:i4>3342425</vt:i4>
      </vt:variant>
      <vt:variant>
        <vt:i4>357</vt:i4>
      </vt:variant>
      <vt:variant>
        <vt:i4>0</vt:i4>
      </vt:variant>
      <vt:variant>
        <vt:i4>5</vt:i4>
      </vt:variant>
      <vt:variant>
        <vt:lpwstr>r_ugpp_1039_20.pdf</vt:lpwstr>
      </vt:variant>
      <vt:variant>
        <vt:lpwstr/>
      </vt:variant>
      <vt:variant>
        <vt:i4>1114120</vt:i4>
      </vt:variant>
      <vt:variant>
        <vt:i4>354</vt:i4>
      </vt:variant>
      <vt:variant>
        <vt:i4>0</vt:i4>
      </vt:variant>
      <vt:variant>
        <vt:i4>5</vt:i4>
      </vt:variant>
      <vt:variant>
        <vt:lpwstr>dl_688_20.doc</vt:lpwstr>
      </vt:variant>
      <vt:variant>
        <vt:lpwstr/>
      </vt:variant>
      <vt:variant>
        <vt:i4>5832728</vt:i4>
      </vt:variant>
      <vt:variant>
        <vt:i4>351</vt:i4>
      </vt:variant>
      <vt:variant>
        <vt:i4>0</vt:i4>
      </vt:variant>
      <vt:variant>
        <vt:i4>5</vt:i4>
      </vt:variant>
      <vt:variant>
        <vt:lpwstr>dur_1625_16.doc</vt:lpwstr>
      </vt:variant>
      <vt:variant>
        <vt:lpwstr/>
      </vt:variant>
      <vt:variant>
        <vt:i4>2424938</vt:i4>
      </vt:variant>
      <vt:variant>
        <vt:i4>348</vt:i4>
      </vt:variant>
      <vt:variant>
        <vt:i4>0</vt:i4>
      </vt:variant>
      <vt:variant>
        <vt:i4>5</vt:i4>
      </vt:variant>
      <vt:variant>
        <vt:lpwstr>l_1943_18.doc</vt:lpwstr>
      </vt:variant>
      <vt:variant>
        <vt:lpwstr/>
      </vt:variant>
      <vt:variant>
        <vt:i4>3014753</vt:i4>
      </vt:variant>
      <vt:variant>
        <vt:i4>345</vt:i4>
      </vt:variant>
      <vt:variant>
        <vt:i4>0</vt:i4>
      </vt:variant>
      <vt:variant>
        <vt:i4>5</vt:i4>
      </vt:variant>
      <vt:variant>
        <vt:lpwstr>l_1819_16.doc</vt:lpwstr>
      </vt:variant>
      <vt:variant>
        <vt:lpwstr/>
      </vt:variant>
      <vt:variant>
        <vt:i4>2162785</vt:i4>
      </vt:variant>
      <vt:variant>
        <vt:i4>342</vt:i4>
      </vt:variant>
      <vt:variant>
        <vt:i4>0</vt:i4>
      </vt:variant>
      <vt:variant>
        <vt:i4>5</vt:i4>
      </vt:variant>
      <vt:variant>
        <vt:lpwstr>l_1739_14.doc</vt:lpwstr>
      </vt:variant>
      <vt:variant>
        <vt:lpwstr/>
      </vt:variant>
      <vt:variant>
        <vt:i4>3014756</vt:i4>
      </vt:variant>
      <vt:variant>
        <vt:i4>339</vt:i4>
      </vt:variant>
      <vt:variant>
        <vt:i4>0</vt:i4>
      </vt:variant>
      <vt:variant>
        <vt:i4>5</vt:i4>
      </vt:variant>
      <vt:variant>
        <vt:lpwstr>l_1607_12.doc</vt:lpwstr>
      </vt:variant>
      <vt:variant>
        <vt:lpwstr/>
      </vt:variant>
      <vt:variant>
        <vt:i4>2818149</vt:i4>
      </vt:variant>
      <vt:variant>
        <vt:i4>336</vt:i4>
      </vt:variant>
      <vt:variant>
        <vt:i4>0</vt:i4>
      </vt:variant>
      <vt:variant>
        <vt:i4>5</vt:i4>
      </vt:variant>
      <vt:variant>
        <vt:lpwstr>l_1430_10.doc</vt:lpwstr>
      </vt:variant>
      <vt:variant>
        <vt:lpwstr/>
      </vt:variant>
      <vt:variant>
        <vt:i4>2752614</vt:i4>
      </vt:variant>
      <vt:variant>
        <vt:i4>333</vt:i4>
      </vt:variant>
      <vt:variant>
        <vt:i4>0</vt:i4>
      </vt:variant>
      <vt:variant>
        <vt:i4>5</vt:i4>
      </vt:variant>
      <vt:variant>
        <vt:lpwstr>l_1175_07.doc</vt:lpwstr>
      </vt:variant>
      <vt:variant>
        <vt:lpwstr/>
      </vt:variant>
      <vt:variant>
        <vt:i4>2621542</vt:i4>
      </vt:variant>
      <vt:variant>
        <vt:i4>330</vt:i4>
      </vt:variant>
      <vt:variant>
        <vt:i4>0</vt:i4>
      </vt:variant>
      <vt:variant>
        <vt:i4>5</vt:i4>
      </vt:variant>
      <vt:variant>
        <vt:lpwstr>l_1066_06.doc</vt:lpwstr>
      </vt:variant>
      <vt:variant>
        <vt:lpwstr/>
      </vt:variant>
      <vt:variant>
        <vt:i4>4259849</vt:i4>
      </vt:variant>
      <vt:variant>
        <vt:i4>327</vt:i4>
      </vt:variant>
      <vt:variant>
        <vt:i4>0</vt:i4>
      </vt:variant>
      <vt:variant>
        <vt:i4>5</vt:i4>
      </vt:variant>
      <vt:variant>
        <vt:lpwstr>../doct/dian_91_20.pdf</vt:lpwstr>
      </vt:variant>
      <vt:variant>
        <vt:lpwstr/>
      </vt:variant>
      <vt:variant>
        <vt:i4>4325383</vt:i4>
      </vt:variant>
      <vt:variant>
        <vt:i4>324</vt:i4>
      </vt:variant>
      <vt:variant>
        <vt:i4>0</vt:i4>
      </vt:variant>
      <vt:variant>
        <vt:i4>5</vt:i4>
      </vt:variant>
      <vt:variant>
        <vt:lpwstr>../doct/dian_900827_21.pdf</vt:lpwstr>
      </vt:variant>
      <vt:variant>
        <vt:lpwstr/>
      </vt:variant>
      <vt:variant>
        <vt:i4>524397</vt:i4>
      </vt:variant>
      <vt:variant>
        <vt:i4>321</vt:i4>
      </vt:variant>
      <vt:variant>
        <vt:i4>0</vt:i4>
      </vt:variant>
      <vt:variant>
        <vt:i4>5</vt:i4>
      </vt:variant>
      <vt:variant>
        <vt:lpwstr>r_dian_86_20.doc</vt:lpwstr>
      </vt:variant>
      <vt:variant>
        <vt:lpwstr/>
      </vt:variant>
      <vt:variant>
        <vt:i4>3342425</vt:i4>
      </vt:variant>
      <vt:variant>
        <vt:i4>318</vt:i4>
      </vt:variant>
      <vt:variant>
        <vt:i4>0</vt:i4>
      </vt:variant>
      <vt:variant>
        <vt:i4>5</vt:i4>
      </vt:variant>
      <vt:variant>
        <vt:lpwstr>r_ugpp_1039_20.pdf</vt:lpwstr>
      </vt:variant>
      <vt:variant>
        <vt:lpwstr/>
      </vt:variant>
      <vt:variant>
        <vt:i4>1114120</vt:i4>
      </vt:variant>
      <vt:variant>
        <vt:i4>315</vt:i4>
      </vt:variant>
      <vt:variant>
        <vt:i4>0</vt:i4>
      </vt:variant>
      <vt:variant>
        <vt:i4>5</vt:i4>
      </vt:variant>
      <vt:variant>
        <vt:lpwstr>dl_688_20.doc</vt:lpwstr>
      </vt:variant>
      <vt:variant>
        <vt:lpwstr/>
      </vt:variant>
      <vt:variant>
        <vt:i4>1572931</vt:i4>
      </vt:variant>
      <vt:variant>
        <vt:i4>312</vt:i4>
      </vt:variant>
      <vt:variant>
        <vt:i4>0</vt:i4>
      </vt:variant>
      <vt:variant>
        <vt:i4>5</vt:i4>
      </vt:variant>
      <vt:variant>
        <vt:lpwstr>dr_1068_15.doc</vt:lpwstr>
      </vt:variant>
      <vt:variant>
        <vt:lpwstr/>
      </vt:variant>
      <vt:variant>
        <vt:i4>5832728</vt:i4>
      </vt:variant>
      <vt:variant>
        <vt:i4>309</vt:i4>
      </vt:variant>
      <vt:variant>
        <vt:i4>0</vt:i4>
      </vt:variant>
      <vt:variant>
        <vt:i4>5</vt:i4>
      </vt:variant>
      <vt:variant>
        <vt:lpwstr>dur_1625_16.doc</vt:lpwstr>
      </vt:variant>
      <vt:variant>
        <vt:lpwstr/>
      </vt:variant>
      <vt:variant>
        <vt:i4>2424938</vt:i4>
      </vt:variant>
      <vt:variant>
        <vt:i4>306</vt:i4>
      </vt:variant>
      <vt:variant>
        <vt:i4>0</vt:i4>
      </vt:variant>
      <vt:variant>
        <vt:i4>5</vt:i4>
      </vt:variant>
      <vt:variant>
        <vt:lpwstr>l_1943_18.doc</vt:lpwstr>
      </vt:variant>
      <vt:variant>
        <vt:lpwstr/>
      </vt:variant>
      <vt:variant>
        <vt:i4>3014753</vt:i4>
      </vt:variant>
      <vt:variant>
        <vt:i4>303</vt:i4>
      </vt:variant>
      <vt:variant>
        <vt:i4>0</vt:i4>
      </vt:variant>
      <vt:variant>
        <vt:i4>5</vt:i4>
      </vt:variant>
      <vt:variant>
        <vt:lpwstr>l_1819_16.doc</vt:lpwstr>
      </vt:variant>
      <vt:variant>
        <vt:lpwstr/>
      </vt:variant>
      <vt:variant>
        <vt:i4>2162785</vt:i4>
      </vt:variant>
      <vt:variant>
        <vt:i4>300</vt:i4>
      </vt:variant>
      <vt:variant>
        <vt:i4>0</vt:i4>
      </vt:variant>
      <vt:variant>
        <vt:i4>5</vt:i4>
      </vt:variant>
      <vt:variant>
        <vt:lpwstr>l_1739_14.doc</vt:lpwstr>
      </vt:variant>
      <vt:variant>
        <vt:lpwstr/>
      </vt:variant>
      <vt:variant>
        <vt:i4>3014756</vt:i4>
      </vt:variant>
      <vt:variant>
        <vt:i4>297</vt:i4>
      </vt:variant>
      <vt:variant>
        <vt:i4>0</vt:i4>
      </vt:variant>
      <vt:variant>
        <vt:i4>5</vt:i4>
      </vt:variant>
      <vt:variant>
        <vt:lpwstr>l_1607_12.doc</vt:lpwstr>
      </vt:variant>
      <vt:variant>
        <vt:lpwstr/>
      </vt:variant>
      <vt:variant>
        <vt:i4>2818149</vt:i4>
      </vt:variant>
      <vt:variant>
        <vt:i4>294</vt:i4>
      </vt:variant>
      <vt:variant>
        <vt:i4>0</vt:i4>
      </vt:variant>
      <vt:variant>
        <vt:i4>5</vt:i4>
      </vt:variant>
      <vt:variant>
        <vt:lpwstr>l_1430_10.doc</vt:lpwstr>
      </vt:variant>
      <vt:variant>
        <vt:lpwstr/>
      </vt:variant>
      <vt:variant>
        <vt:i4>2752614</vt:i4>
      </vt:variant>
      <vt:variant>
        <vt:i4>291</vt:i4>
      </vt:variant>
      <vt:variant>
        <vt:i4>0</vt:i4>
      </vt:variant>
      <vt:variant>
        <vt:i4>5</vt:i4>
      </vt:variant>
      <vt:variant>
        <vt:lpwstr>l_1175_07.doc</vt:lpwstr>
      </vt:variant>
      <vt:variant>
        <vt:lpwstr/>
      </vt:variant>
      <vt:variant>
        <vt:i4>2621542</vt:i4>
      </vt:variant>
      <vt:variant>
        <vt:i4>288</vt:i4>
      </vt:variant>
      <vt:variant>
        <vt:i4>0</vt:i4>
      </vt:variant>
      <vt:variant>
        <vt:i4>5</vt:i4>
      </vt:variant>
      <vt:variant>
        <vt:lpwstr>l_1066_06.doc</vt:lpwstr>
      </vt:variant>
      <vt:variant>
        <vt:lpwstr/>
      </vt:variant>
      <vt:variant>
        <vt:i4>720918</vt:i4>
      </vt:variant>
      <vt:variant>
        <vt:i4>285</vt:i4>
      </vt:variant>
      <vt:variant>
        <vt:i4>0</vt:i4>
      </vt:variant>
      <vt:variant>
        <vt:i4>5</vt:i4>
      </vt:variant>
      <vt:variant>
        <vt:lpwstr>l_446_98.doc</vt:lpwstr>
      </vt:variant>
      <vt:variant>
        <vt:lpwstr/>
      </vt:variant>
      <vt:variant>
        <vt:i4>2228331</vt:i4>
      </vt:variant>
      <vt:variant>
        <vt:i4>282</vt:i4>
      </vt:variant>
      <vt:variant>
        <vt:i4>0</vt:i4>
      </vt:variant>
      <vt:variant>
        <vt:i4>5</vt:i4>
      </vt:variant>
      <vt:variant>
        <vt:lpwstr>d_3568_11.doc</vt:lpwstr>
      </vt:variant>
      <vt:variant>
        <vt:lpwstr/>
      </vt:variant>
      <vt:variant>
        <vt:i4>2424938</vt:i4>
      </vt:variant>
      <vt:variant>
        <vt:i4>279</vt:i4>
      </vt:variant>
      <vt:variant>
        <vt:i4>0</vt:i4>
      </vt:variant>
      <vt:variant>
        <vt:i4>5</vt:i4>
      </vt:variant>
      <vt:variant>
        <vt:lpwstr>l_1943_18.doc</vt:lpwstr>
      </vt:variant>
      <vt:variant>
        <vt:lpwstr/>
      </vt:variant>
      <vt:variant>
        <vt:i4>2424938</vt:i4>
      </vt:variant>
      <vt:variant>
        <vt:i4>276</vt:i4>
      </vt:variant>
      <vt:variant>
        <vt:i4>0</vt:i4>
      </vt:variant>
      <vt:variant>
        <vt:i4>5</vt:i4>
      </vt:variant>
      <vt:variant>
        <vt:lpwstr>l_1943_18.doc</vt:lpwstr>
      </vt:variant>
      <vt:variant>
        <vt:lpwstr/>
      </vt:variant>
      <vt:variant>
        <vt:i4>3014758</vt:i4>
      </vt:variant>
      <vt:variant>
        <vt:i4>273</vt:i4>
      </vt:variant>
      <vt:variant>
        <vt:i4>0</vt:i4>
      </vt:variant>
      <vt:variant>
        <vt:i4>5</vt:i4>
      </vt:variant>
      <vt:variant>
        <vt:lpwstr>d_4050_08.doc</vt:lpwstr>
      </vt:variant>
      <vt:variant>
        <vt:lpwstr/>
      </vt:variant>
      <vt:variant>
        <vt:i4>3014753</vt:i4>
      </vt:variant>
      <vt:variant>
        <vt:i4>270</vt:i4>
      </vt:variant>
      <vt:variant>
        <vt:i4>0</vt:i4>
      </vt:variant>
      <vt:variant>
        <vt:i4>5</vt:i4>
      </vt:variant>
      <vt:variant>
        <vt:lpwstr>l_1819_16.doc</vt:lpwstr>
      </vt:variant>
      <vt:variant>
        <vt:lpwstr/>
      </vt:variant>
      <vt:variant>
        <vt:i4>2228324</vt:i4>
      </vt:variant>
      <vt:variant>
        <vt:i4>267</vt:i4>
      </vt:variant>
      <vt:variant>
        <vt:i4>0</vt:i4>
      </vt:variant>
      <vt:variant>
        <vt:i4>5</vt:i4>
      </vt:variant>
      <vt:variant>
        <vt:lpwstr>l_1508_12.doc</vt:lpwstr>
      </vt:variant>
      <vt:variant>
        <vt:lpwstr/>
      </vt:variant>
      <vt:variant>
        <vt:i4>3014753</vt:i4>
      </vt:variant>
      <vt:variant>
        <vt:i4>264</vt:i4>
      </vt:variant>
      <vt:variant>
        <vt:i4>0</vt:i4>
      </vt:variant>
      <vt:variant>
        <vt:i4>5</vt:i4>
      </vt:variant>
      <vt:variant>
        <vt:lpwstr>l_1819_16.doc</vt:lpwstr>
      </vt:variant>
      <vt:variant>
        <vt:lpwstr/>
      </vt:variant>
      <vt:variant>
        <vt:i4>851986</vt:i4>
      </vt:variant>
      <vt:variant>
        <vt:i4>261</vt:i4>
      </vt:variant>
      <vt:variant>
        <vt:i4>0</vt:i4>
      </vt:variant>
      <vt:variant>
        <vt:i4>5</vt:i4>
      </vt:variant>
      <vt:variant>
        <vt:lpwstr>l_788_02.doc</vt:lpwstr>
      </vt:variant>
      <vt:variant>
        <vt:lpwstr/>
      </vt:variant>
      <vt:variant>
        <vt:i4>196621</vt:i4>
      </vt:variant>
      <vt:variant>
        <vt:i4>258</vt:i4>
      </vt:variant>
      <vt:variant>
        <vt:i4>0</vt:i4>
      </vt:variant>
      <vt:variant>
        <vt:i4>5</vt:i4>
      </vt:variant>
      <vt:variant>
        <vt:lpwstr>../juri/sc_379_20.doc</vt:lpwstr>
      </vt:variant>
      <vt:variant>
        <vt:lpwstr/>
      </vt:variant>
      <vt:variant>
        <vt:i4>589839</vt:i4>
      </vt:variant>
      <vt:variant>
        <vt:i4>255</vt:i4>
      </vt:variant>
      <vt:variant>
        <vt:i4>0</vt:i4>
      </vt:variant>
      <vt:variant>
        <vt:i4>5</vt:i4>
      </vt:variant>
      <vt:variant>
        <vt:lpwstr>../juri/sc_040_21.doc</vt:lpwstr>
      </vt:variant>
      <vt:variant>
        <vt:lpwstr/>
      </vt:variant>
      <vt:variant>
        <vt:i4>917518</vt:i4>
      </vt:variant>
      <vt:variant>
        <vt:i4>252</vt:i4>
      </vt:variant>
      <vt:variant>
        <vt:i4>0</vt:i4>
      </vt:variant>
      <vt:variant>
        <vt:i4>5</vt:i4>
      </vt:variant>
      <vt:variant>
        <vt:lpwstr>../juri/sc_057_21.doc</vt:lpwstr>
      </vt:variant>
      <vt:variant>
        <vt:lpwstr/>
      </vt:variant>
      <vt:variant>
        <vt:i4>2424938</vt:i4>
      </vt:variant>
      <vt:variant>
        <vt:i4>249</vt:i4>
      </vt:variant>
      <vt:variant>
        <vt:i4>0</vt:i4>
      </vt:variant>
      <vt:variant>
        <vt:i4>5</vt:i4>
      </vt:variant>
      <vt:variant>
        <vt:lpwstr>l_1943_18.doc</vt:lpwstr>
      </vt:variant>
      <vt:variant>
        <vt:lpwstr/>
      </vt:variant>
      <vt:variant>
        <vt:i4>2424938</vt:i4>
      </vt:variant>
      <vt:variant>
        <vt:i4>246</vt:i4>
      </vt:variant>
      <vt:variant>
        <vt:i4>0</vt:i4>
      </vt:variant>
      <vt:variant>
        <vt:i4>5</vt:i4>
      </vt:variant>
      <vt:variant>
        <vt:lpwstr>l_1943_18.doc</vt:lpwstr>
      </vt:variant>
      <vt:variant>
        <vt:lpwstr/>
      </vt:variant>
      <vt:variant>
        <vt:i4>2424938</vt:i4>
      </vt:variant>
      <vt:variant>
        <vt:i4>243</vt:i4>
      </vt:variant>
      <vt:variant>
        <vt:i4>0</vt:i4>
      </vt:variant>
      <vt:variant>
        <vt:i4>5</vt:i4>
      </vt:variant>
      <vt:variant>
        <vt:lpwstr>l_1943_18.doc</vt:lpwstr>
      </vt:variant>
      <vt:variant>
        <vt:lpwstr/>
      </vt:variant>
      <vt:variant>
        <vt:i4>2424938</vt:i4>
      </vt:variant>
      <vt:variant>
        <vt:i4>240</vt:i4>
      </vt:variant>
      <vt:variant>
        <vt:i4>0</vt:i4>
      </vt:variant>
      <vt:variant>
        <vt:i4>5</vt:i4>
      </vt:variant>
      <vt:variant>
        <vt:lpwstr>l_1943_18.doc</vt:lpwstr>
      </vt:variant>
      <vt:variant>
        <vt:lpwstr/>
      </vt:variant>
      <vt:variant>
        <vt:i4>2424938</vt:i4>
      </vt:variant>
      <vt:variant>
        <vt:i4>237</vt:i4>
      </vt:variant>
      <vt:variant>
        <vt:i4>0</vt:i4>
      </vt:variant>
      <vt:variant>
        <vt:i4>5</vt:i4>
      </vt:variant>
      <vt:variant>
        <vt:lpwstr>l_1943_18.doc</vt:lpwstr>
      </vt:variant>
      <vt:variant>
        <vt:lpwstr/>
      </vt:variant>
      <vt:variant>
        <vt:i4>2424938</vt:i4>
      </vt:variant>
      <vt:variant>
        <vt:i4>234</vt:i4>
      </vt:variant>
      <vt:variant>
        <vt:i4>0</vt:i4>
      </vt:variant>
      <vt:variant>
        <vt:i4>5</vt:i4>
      </vt:variant>
      <vt:variant>
        <vt:lpwstr>l_1943_18.doc</vt:lpwstr>
      </vt:variant>
      <vt:variant>
        <vt:lpwstr/>
      </vt:variant>
      <vt:variant>
        <vt:i4>589837</vt:i4>
      </vt:variant>
      <vt:variant>
        <vt:i4>231</vt:i4>
      </vt:variant>
      <vt:variant>
        <vt:i4>0</vt:i4>
      </vt:variant>
      <vt:variant>
        <vt:i4>5</vt:i4>
      </vt:variant>
      <vt:variant>
        <vt:lpwstr>../juri/sc_161_21.doc</vt:lpwstr>
      </vt:variant>
      <vt:variant>
        <vt:lpwstr/>
      </vt:variant>
      <vt:variant>
        <vt:i4>2949219</vt:i4>
      </vt:variant>
      <vt:variant>
        <vt:i4>228</vt:i4>
      </vt:variant>
      <vt:variant>
        <vt:i4>0</vt:i4>
      </vt:variant>
      <vt:variant>
        <vt:i4>5</vt:i4>
      </vt:variant>
      <vt:variant>
        <vt:lpwstr>l_1715_14.doc</vt:lpwstr>
      </vt:variant>
      <vt:variant>
        <vt:lpwstr/>
      </vt:variant>
      <vt:variant>
        <vt:i4>2031703</vt:i4>
      </vt:variant>
      <vt:variant>
        <vt:i4>225</vt:i4>
      </vt:variant>
      <vt:variant>
        <vt:i4>0</vt:i4>
      </vt:variant>
      <vt:variant>
        <vt:i4>5</vt:i4>
      </vt:variant>
      <vt:variant>
        <vt:lpwstr>l_89_88.doc</vt:lpwstr>
      </vt:variant>
      <vt:variant>
        <vt:lpwstr/>
      </vt:variant>
      <vt:variant>
        <vt:i4>1966161</vt:i4>
      </vt:variant>
      <vt:variant>
        <vt:i4>222</vt:i4>
      </vt:variant>
      <vt:variant>
        <vt:i4>0</vt:i4>
      </vt:variant>
      <vt:variant>
        <vt:i4>5</vt:i4>
      </vt:variant>
      <vt:variant>
        <vt:lpwstr>l_27_74.doc</vt:lpwstr>
      </vt:variant>
      <vt:variant>
        <vt:lpwstr/>
      </vt:variant>
      <vt:variant>
        <vt:i4>1507415</vt:i4>
      </vt:variant>
      <vt:variant>
        <vt:i4>219</vt:i4>
      </vt:variant>
      <vt:variant>
        <vt:i4>0</vt:i4>
      </vt:variant>
      <vt:variant>
        <vt:i4>5</vt:i4>
      </vt:variant>
      <vt:variant>
        <vt:lpwstr>l_21_82.doc</vt:lpwstr>
      </vt:variant>
      <vt:variant>
        <vt:lpwstr/>
      </vt:variant>
      <vt:variant>
        <vt:i4>2949219</vt:i4>
      </vt:variant>
      <vt:variant>
        <vt:i4>216</vt:i4>
      </vt:variant>
      <vt:variant>
        <vt:i4>0</vt:i4>
      </vt:variant>
      <vt:variant>
        <vt:i4>5</vt:i4>
      </vt:variant>
      <vt:variant>
        <vt:lpwstr>l_1122_07.doc</vt:lpwstr>
      </vt:variant>
      <vt:variant>
        <vt:lpwstr/>
      </vt:variant>
      <vt:variant>
        <vt:i4>2031709</vt:i4>
      </vt:variant>
      <vt:variant>
        <vt:i4>213</vt:i4>
      </vt:variant>
      <vt:variant>
        <vt:i4>0</vt:i4>
      </vt:variant>
      <vt:variant>
        <vt:i4>5</vt:i4>
      </vt:variant>
      <vt:variant>
        <vt:lpwstr>l_98_93.doc</vt:lpwstr>
      </vt:variant>
      <vt:variant>
        <vt:lpwstr/>
      </vt:variant>
      <vt:variant>
        <vt:i4>2949235</vt:i4>
      </vt:variant>
      <vt:variant>
        <vt:i4>210</vt:i4>
      </vt:variant>
      <vt:variant>
        <vt:i4>0</vt:i4>
      </vt:variant>
      <vt:variant>
        <vt:i4>5</vt:i4>
      </vt:variant>
      <vt:variant>
        <vt:lpwstr>l_2319_23.pdf</vt:lpwstr>
      </vt:variant>
      <vt:variant>
        <vt:lpwstr/>
      </vt:variant>
      <vt:variant>
        <vt:i4>196620</vt:i4>
      </vt:variant>
      <vt:variant>
        <vt:i4>207</vt:i4>
      </vt:variant>
      <vt:variant>
        <vt:i4>0</vt:i4>
      </vt:variant>
      <vt:variant>
        <vt:i4>5</vt:i4>
      </vt:variant>
      <vt:variant>
        <vt:lpwstr>dr_841_98.doc</vt:lpwstr>
      </vt:variant>
      <vt:variant>
        <vt:lpwstr/>
      </vt:variant>
      <vt:variant>
        <vt:i4>2424938</vt:i4>
      </vt:variant>
      <vt:variant>
        <vt:i4>204</vt:i4>
      </vt:variant>
      <vt:variant>
        <vt:i4>0</vt:i4>
      </vt:variant>
      <vt:variant>
        <vt:i4>5</vt:i4>
      </vt:variant>
      <vt:variant>
        <vt:lpwstr>l_1943_18.doc</vt:lpwstr>
      </vt:variant>
      <vt:variant>
        <vt:lpwstr/>
      </vt:variant>
      <vt:variant>
        <vt:i4>2424938</vt:i4>
      </vt:variant>
      <vt:variant>
        <vt:i4>201</vt:i4>
      </vt:variant>
      <vt:variant>
        <vt:i4>0</vt:i4>
      </vt:variant>
      <vt:variant>
        <vt:i4>5</vt:i4>
      </vt:variant>
      <vt:variant>
        <vt:lpwstr>l_1943_18.doc</vt:lpwstr>
      </vt:variant>
      <vt:variant>
        <vt:lpwstr/>
      </vt:variant>
      <vt:variant>
        <vt:i4>2424938</vt:i4>
      </vt:variant>
      <vt:variant>
        <vt:i4>198</vt:i4>
      </vt:variant>
      <vt:variant>
        <vt:i4>0</vt:i4>
      </vt:variant>
      <vt:variant>
        <vt:i4>5</vt:i4>
      </vt:variant>
      <vt:variant>
        <vt:lpwstr>l_1943_18.doc</vt:lpwstr>
      </vt:variant>
      <vt:variant>
        <vt:lpwstr/>
      </vt:variant>
      <vt:variant>
        <vt:i4>655383</vt:i4>
      </vt:variant>
      <vt:variant>
        <vt:i4>195</vt:i4>
      </vt:variant>
      <vt:variant>
        <vt:i4>0</vt:i4>
      </vt:variant>
      <vt:variant>
        <vt:i4>5</vt:i4>
      </vt:variant>
      <vt:variant>
        <vt:lpwstr>l_546_99.doc</vt:lpwstr>
      </vt:variant>
      <vt:variant>
        <vt:lpwstr/>
      </vt:variant>
      <vt:variant>
        <vt:i4>1966152</vt:i4>
      </vt:variant>
      <vt:variant>
        <vt:i4>192</vt:i4>
      </vt:variant>
      <vt:variant>
        <vt:i4>0</vt:i4>
      </vt:variant>
      <vt:variant>
        <vt:i4>5</vt:i4>
      </vt:variant>
      <vt:variant>
        <vt:lpwstr>dr_2755_03.doc</vt:lpwstr>
      </vt:variant>
      <vt:variant>
        <vt:lpwstr/>
      </vt:variant>
      <vt:variant>
        <vt:i4>2949219</vt:i4>
      </vt:variant>
      <vt:variant>
        <vt:i4>189</vt:i4>
      </vt:variant>
      <vt:variant>
        <vt:i4>0</vt:i4>
      </vt:variant>
      <vt:variant>
        <vt:i4>5</vt:i4>
      </vt:variant>
      <vt:variant>
        <vt:lpwstr>l_1715_14.doc</vt:lpwstr>
      </vt:variant>
      <vt:variant>
        <vt:lpwstr/>
      </vt:variant>
      <vt:variant>
        <vt:i4>2424938</vt:i4>
      </vt:variant>
      <vt:variant>
        <vt:i4>186</vt:i4>
      </vt:variant>
      <vt:variant>
        <vt:i4>0</vt:i4>
      </vt:variant>
      <vt:variant>
        <vt:i4>5</vt:i4>
      </vt:variant>
      <vt:variant>
        <vt:lpwstr>l_1943_18.doc</vt:lpwstr>
      </vt:variant>
      <vt:variant>
        <vt:lpwstr/>
      </vt:variant>
      <vt:variant>
        <vt:i4>2949235</vt:i4>
      </vt:variant>
      <vt:variant>
        <vt:i4>183</vt:i4>
      </vt:variant>
      <vt:variant>
        <vt:i4>0</vt:i4>
      </vt:variant>
      <vt:variant>
        <vt:i4>5</vt:i4>
      </vt:variant>
      <vt:variant>
        <vt:lpwstr>l_2319_23.pdf</vt:lpwstr>
      </vt:variant>
      <vt:variant>
        <vt:lpwstr/>
      </vt:variant>
      <vt:variant>
        <vt:i4>2949235</vt:i4>
      </vt:variant>
      <vt:variant>
        <vt:i4>180</vt:i4>
      </vt:variant>
      <vt:variant>
        <vt:i4>0</vt:i4>
      </vt:variant>
      <vt:variant>
        <vt:i4>5</vt:i4>
      </vt:variant>
      <vt:variant>
        <vt:lpwstr>l_2319_23.pdf</vt:lpwstr>
      </vt:variant>
      <vt:variant>
        <vt:lpwstr/>
      </vt:variant>
      <vt:variant>
        <vt:i4>1507411</vt:i4>
      </vt:variant>
      <vt:variant>
        <vt:i4>177</vt:i4>
      </vt:variant>
      <vt:variant>
        <vt:i4>0</vt:i4>
      </vt:variant>
      <vt:variant>
        <vt:i4>5</vt:i4>
      </vt:variant>
      <vt:variant>
        <vt:lpwstr>l_70_93.doc</vt:lpwstr>
      </vt:variant>
      <vt:variant>
        <vt:lpwstr/>
      </vt:variant>
      <vt:variant>
        <vt:i4>3014753</vt:i4>
      </vt:variant>
      <vt:variant>
        <vt:i4>174</vt:i4>
      </vt:variant>
      <vt:variant>
        <vt:i4>0</vt:i4>
      </vt:variant>
      <vt:variant>
        <vt:i4>5</vt:i4>
      </vt:variant>
      <vt:variant>
        <vt:lpwstr>l_1819_16.doc</vt:lpwstr>
      </vt:variant>
      <vt:variant>
        <vt:lpwstr/>
      </vt:variant>
      <vt:variant>
        <vt:i4>3014753</vt:i4>
      </vt:variant>
      <vt:variant>
        <vt:i4>171</vt:i4>
      </vt:variant>
      <vt:variant>
        <vt:i4>0</vt:i4>
      </vt:variant>
      <vt:variant>
        <vt:i4>5</vt:i4>
      </vt:variant>
      <vt:variant>
        <vt:lpwstr>l_1819_16.doc</vt:lpwstr>
      </vt:variant>
      <vt:variant>
        <vt:lpwstr/>
      </vt:variant>
      <vt:variant>
        <vt:i4>2293866</vt:i4>
      </vt:variant>
      <vt:variant>
        <vt:i4>168</vt:i4>
      </vt:variant>
      <vt:variant>
        <vt:i4>0</vt:i4>
      </vt:variant>
      <vt:variant>
        <vt:i4>5</vt:i4>
      </vt:variant>
      <vt:variant>
        <vt:lpwstr>l_1955_19.doc</vt:lpwstr>
      </vt:variant>
      <vt:variant>
        <vt:lpwstr/>
      </vt:variant>
      <vt:variant>
        <vt:i4>2687074</vt:i4>
      </vt:variant>
      <vt:variant>
        <vt:i4>165</vt:i4>
      </vt:variant>
      <vt:variant>
        <vt:i4>0</vt:i4>
      </vt:variant>
      <vt:variant>
        <vt:i4>5</vt:i4>
      </vt:variant>
      <vt:variant>
        <vt:lpwstr>l_1563_12.doc</vt:lpwstr>
      </vt:variant>
      <vt:variant>
        <vt:lpwstr/>
      </vt:variant>
      <vt:variant>
        <vt:i4>3080288</vt:i4>
      </vt:variant>
      <vt:variant>
        <vt:i4>162</vt:i4>
      </vt:variant>
      <vt:variant>
        <vt:i4>0</vt:i4>
      </vt:variant>
      <vt:variant>
        <vt:i4>5</vt:i4>
      </vt:variant>
      <vt:variant>
        <vt:lpwstr>l_1474_11.doc</vt:lpwstr>
      </vt:variant>
      <vt:variant>
        <vt:lpwstr/>
      </vt:variant>
      <vt:variant>
        <vt:i4>3014753</vt:i4>
      </vt:variant>
      <vt:variant>
        <vt:i4>159</vt:i4>
      </vt:variant>
      <vt:variant>
        <vt:i4>0</vt:i4>
      </vt:variant>
      <vt:variant>
        <vt:i4>5</vt:i4>
      </vt:variant>
      <vt:variant>
        <vt:lpwstr>l_1819_16.doc</vt:lpwstr>
      </vt:variant>
      <vt:variant>
        <vt:lpwstr/>
      </vt:variant>
      <vt:variant>
        <vt:i4>3014753</vt:i4>
      </vt:variant>
      <vt:variant>
        <vt:i4>156</vt:i4>
      </vt:variant>
      <vt:variant>
        <vt:i4>0</vt:i4>
      </vt:variant>
      <vt:variant>
        <vt:i4>5</vt:i4>
      </vt:variant>
      <vt:variant>
        <vt:lpwstr>l_1819_16.doc</vt:lpwstr>
      </vt:variant>
      <vt:variant>
        <vt:lpwstr/>
      </vt:variant>
      <vt:variant>
        <vt:i4>1441803</vt:i4>
      </vt:variant>
      <vt:variant>
        <vt:i4>153</vt:i4>
      </vt:variant>
      <vt:variant>
        <vt:i4>0</vt:i4>
      </vt:variant>
      <vt:variant>
        <vt:i4>5</vt:i4>
      </vt:variant>
      <vt:variant>
        <vt:lpwstr>../juri/st_109_21.doc</vt:lpwstr>
      </vt:variant>
      <vt:variant>
        <vt:lpwstr/>
      </vt:variant>
      <vt:variant>
        <vt:i4>983052</vt:i4>
      </vt:variant>
      <vt:variant>
        <vt:i4>150</vt:i4>
      </vt:variant>
      <vt:variant>
        <vt:i4>0</vt:i4>
      </vt:variant>
      <vt:variant>
        <vt:i4>5</vt:i4>
      </vt:variant>
      <vt:variant>
        <vt:lpwstr>../juri/sc_345_22.doc</vt:lpwstr>
      </vt:variant>
      <vt:variant>
        <vt:lpwstr/>
      </vt:variant>
      <vt:variant>
        <vt:i4>1835083</vt:i4>
      </vt:variant>
      <vt:variant>
        <vt:i4>147</vt:i4>
      </vt:variant>
      <vt:variant>
        <vt:i4>0</vt:i4>
      </vt:variant>
      <vt:variant>
        <vt:i4>5</vt:i4>
      </vt:variant>
      <vt:variant>
        <vt:lpwstr>dr_1848_13.doc</vt:lpwstr>
      </vt:variant>
      <vt:variant>
        <vt:lpwstr/>
      </vt:variant>
      <vt:variant>
        <vt:i4>3014756</vt:i4>
      </vt:variant>
      <vt:variant>
        <vt:i4>144</vt:i4>
      </vt:variant>
      <vt:variant>
        <vt:i4>0</vt:i4>
      </vt:variant>
      <vt:variant>
        <vt:i4>5</vt:i4>
      </vt:variant>
      <vt:variant>
        <vt:lpwstr>l_1607_12.doc</vt:lpwstr>
      </vt:variant>
      <vt:variant>
        <vt:lpwstr/>
      </vt:variant>
      <vt:variant>
        <vt:i4>4390912</vt:i4>
      </vt:variant>
      <vt:variant>
        <vt:i4>141</vt:i4>
      </vt:variant>
      <vt:variant>
        <vt:i4>0</vt:i4>
      </vt:variant>
      <vt:variant>
        <vt:i4>5</vt:i4>
      </vt:variant>
      <vt:variant>
        <vt:lpwstr>../doct/dian_903008_21.pdf</vt:lpwstr>
      </vt:variant>
      <vt:variant>
        <vt:lpwstr/>
      </vt:variant>
      <vt:variant>
        <vt:i4>4521993</vt:i4>
      </vt:variant>
      <vt:variant>
        <vt:i4>138</vt:i4>
      </vt:variant>
      <vt:variant>
        <vt:i4>0</vt:i4>
      </vt:variant>
      <vt:variant>
        <vt:i4>5</vt:i4>
      </vt:variant>
      <vt:variant>
        <vt:lpwstr>../doct/dian_904819_21.pdf</vt:lpwstr>
      </vt:variant>
      <vt:variant>
        <vt:lpwstr/>
      </vt:variant>
      <vt:variant>
        <vt:i4>5898243</vt:i4>
      </vt:variant>
      <vt:variant>
        <vt:i4>135</vt:i4>
      </vt:variant>
      <vt:variant>
        <vt:i4>0</vt:i4>
      </vt:variant>
      <vt:variant>
        <vt:i4>5</vt:i4>
      </vt:variant>
      <vt:variant>
        <vt:lpwstr>../doct/dian_913889_21.doc</vt:lpwstr>
      </vt:variant>
      <vt:variant>
        <vt:lpwstr/>
      </vt:variant>
      <vt:variant>
        <vt:i4>4980747</vt:i4>
      </vt:variant>
      <vt:variant>
        <vt:i4>132</vt:i4>
      </vt:variant>
      <vt:variant>
        <vt:i4>0</vt:i4>
      </vt:variant>
      <vt:variant>
        <vt:i4>5</vt:i4>
      </vt:variant>
      <vt:variant>
        <vt:lpwstr>../doct/dian_2023003343_23.pdf</vt:lpwstr>
      </vt:variant>
      <vt:variant>
        <vt:lpwstr/>
      </vt:variant>
      <vt:variant>
        <vt:i4>5832728</vt:i4>
      </vt:variant>
      <vt:variant>
        <vt:i4>129</vt:i4>
      </vt:variant>
      <vt:variant>
        <vt:i4>0</vt:i4>
      </vt:variant>
      <vt:variant>
        <vt:i4>5</vt:i4>
      </vt:variant>
      <vt:variant>
        <vt:lpwstr>dur_1625_16.doc</vt:lpwstr>
      </vt:variant>
      <vt:variant>
        <vt:lpwstr/>
      </vt:variant>
      <vt:variant>
        <vt:i4>1835076</vt:i4>
      </vt:variant>
      <vt:variant>
        <vt:i4>126</vt:i4>
      </vt:variant>
      <vt:variant>
        <vt:i4>0</vt:i4>
      </vt:variant>
      <vt:variant>
        <vt:i4>5</vt:i4>
      </vt:variant>
      <vt:variant>
        <vt:lpwstr>dr_2669_12.doc</vt:lpwstr>
      </vt:variant>
      <vt:variant>
        <vt:lpwstr/>
      </vt:variant>
      <vt:variant>
        <vt:i4>7864427</vt:i4>
      </vt:variant>
      <vt:variant>
        <vt:i4>123</vt:i4>
      </vt:variant>
      <vt:variant>
        <vt:i4>0</vt:i4>
      </vt:variant>
      <vt:variant>
        <vt:i4>5</vt:i4>
      </vt:variant>
      <vt:variant>
        <vt:lpwstr>../doct/dian_544_20.pdf</vt:lpwstr>
      </vt:variant>
      <vt:variant>
        <vt:lpwstr/>
      </vt:variant>
      <vt:variant>
        <vt:i4>4849679</vt:i4>
      </vt:variant>
      <vt:variant>
        <vt:i4>120</vt:i4>
      </vt:variant>
      <vt:variant>
        <vt:i4>0</vt:i4>
      </vt:variant>
      <vt:variant>
        <vt:i4>5</vt:i4>
      </vt:variant>
      <vt:variant>
        <vt:lpwstr>../doct/dian_909037_21.pdf</vt:lpwstr>
      </vt:variant>
      <vt:variant>
        <vt:lpwstr/>
      </vt:variant>
      <vt:variant>
        <vt:i4>1376357</vt:i4>
      </vt:variant>
      <vt:variant>
        <vt:i4>117</vt:i4>
      </vt:variant>
      <vt:variant>
        <vt:i4>0</vt:i4>
      </vt:variant>
      <vt:variant>
        <vt:i4>5</vt:i4>
      </vt:variant>
      <vt:variant>
        <vt:lpwstr>r_dian_45_20.pdf</vt:lpwstr>
      </vt:variant>
      <vt:variant>
        <vt:lpwstr/>
      </vt:variant>
      <vt:variant>
        <vt:i4>2424938</vt:i4>
      </vt:variant>
      <vt:variant>
        <vt:i4>114</vt:i4>
      </vt:variant>
      <vt:variant>
        <vt:i4>0</vt:i4>
      </vt:variant>
      <vt:variant>
        <vt:i4>5</vt:i4>
      </vt:variant>
      <vt:variant>
        <vt:lpwstr>l_1943_18.doc</vt:lpwstr>
      </vt:variant>
      <vt:variant>
        <vt:lpwstr/>
      </vt:variant>
      <vt:variant>
        <vt:i4>2424938</vt:i4>
      </vt:variant>
      <vt:variant>
        <vt:i4>111</vt:i4>
      </vt:variant>
      <vt:variant>
        <vt:i4>0</vt:i4>
      </vt:variant>
      <vt:variant>
        <vt:i4>5</vt:i4>
      </vt:variant>
      <vt:variant>
        <vt:lpwstr>l_1943_18.doc</vt:lpwstr>
      </vt:variant>
      <vt:variant>
        <vt:lpwstr/>
      </vt:variant>
      <vt:variant>
        <vt:i4>2162785</vt:i4>
      </vt:variant>
      <vt:variant>
        <vt:i4>108</vt:i4>
      </vt:variant>
      <vt:variant>
        <vt:i4>0</vt:i4>
      </vt:variant>
      <vt:variant>
        <vt:i4>5</vt:i4>
      </vt:variant>
      <vt:variant>
        <vt:lpwstr>l_1739_14.doc</vt:lpwstr>
      </vt:variant>
      <vt:variant>
        <vt:lpwstr/>
      </vt:variant>
      <vt:variant>
        <vt:i4>3538989</vt:i4>
      </vt:variant>
      <vt:variant>
        <vt:i4>105</vt:i4>
      </vt:variant>
      <vt:variant>
        <vt:i4>0</vt:i4>
      </vt:variant>
      <vt:variant>
        <vt:i4>5</vt:i4>
      </vt:variant>
      <vt:variant>
        <vt:lpwstr>l_9_91.doc</vt:lpwstr>
      </vt:variant>
      <vt:variant>
        <vt:lpwstr/>
      </vt:variant>
      <vt:variant>
        <vt:i4>1441878</vt:i4>
      </vt:variant>
      <vt:variant>
        <vt:i4>102</vt:i4>
      </vt:variant>
      <vt:variant>
        <vt:i4>0</vt:i4>
      </vt:variant>
      <vt:variant>
        <vt:i4>5</vt:i4>
      </vt:variant>
      <vt:variant>
        <vt:lpwstr>l_31_92.doc</vt:lpwstr>
      </vt:variant>
      <vt:variant>
        <vt:lpwstr/>
      </vt:variant>
      <vt:variant>
        <vt:i4>4653066</vt:i4>
      </vt:variant>
      <vt:variant>
        <vt:i4>99</vt:i4>
      </vt:variant>
      <vt:variant>
        <vt:i4>0</vt:i4>
      </vt:variant>
      <vt:variant>
        <vt:i4>5</vt:i4>
      </vt:variant>
      <vt:variant>
        <vt:lpwstr>../doct/dian_905133_20.pdf</vt:lpwstr>
      </vt:variant>
      <vt:variant>
        <vt:lpwstr/>
      </vt:variant>
      <vt:variant>
        <vt:i4>5111817</vt:i4>
      </vt:variant>
      <vt:variant>
        <vt:i4>96</vt:i4>
      </vt:variant>
      <vt:variant>
        <vt:i4>0</vt:i4>
      </vt:variant>
      <vt:variant>
        <vt:i4>5</vt:i4>
      </vt:variant>
      <vt:variant>
        <vt:lpwstr>../doct/dian_906392_20.pdf</vt:lpwstr>
      </vt:variant>
      <vt:variant>
        <vt:lpwstr/>
      </vt:variant>
      <vt:variant>
        <vt:i4>4849679</vt:i4>
      </vt:variant>
      <vt:variant>
        <vt:i4>93</vt:i4>
      </vt:variant>
      <vt:variant>
        <vt:i4>0</vt:i4>
      </vt:variant>
      <vt:variant>
        <vt:i4>5</vt:i4>
      </vt:variant>
      <vt:variant>
        <vt:lpwstr>../doct/dian_909037_21.pdf</vt:lpwstr>
      </vt:variant>
      <vt:variant>
        <vt:lpwstr/>
      </vt:variant>
      <vt:variant>
        <vt:i4>5832728</vt:i4>
      </vt:variant>
      <vt:variant>
        <vt:i4>90</vt:i4>
      </vt:variant>
      <vt:variant>
        <vt:i4>0</vt:i4>
      </vt:variant>
      <vt:variant>
        <vt:i4>5</vt:i4>
      </vt:variant>
      <vt:variant>
        <vt:lpwstr>dur_1625_16.doc</vt:lpwstr>
      </vt:variant>
      <vt:variant>
        <vt:lpwstr/>
      </vt:variant>
      <vt:variant>
        <vt:i4>4653066</vt:i4>
      </vt:variant>
      <vt:variant>
        <vt:i4>87</vt:i4>
      </vt:variant>
      <vt:variant>
        <vt:i4>0</vt:i4>
      </vt:variant>
      <vt:variant>
        <vt:i4>5</vt:i4>
      </vt:variant>
      <vt:variant>
        <vt:lpwstr>../doct/dian_905133_20.pdf</vt:lpwstr>
      </vt:variant>
      <vt:variant>
        <vt:lpwstr/>
      </vt:variant>
      <vt:variant>
        <vt:i4>5832728</vt:i4>
      </vt:variant>
      <vt:variant>
        <vt:i4>84</vt:i4>
      </vt:variant>
      <vt:variant>
        <vt:i4>0</vt:i4>
      </vt:variant>
      <vt:variant>
        <vt:i4>5</vt:i4>
      </vt:variant>
      <vt:variant>
        <vt:lpwstr>dur_1625_16.doc</vt:lpwstr>
      </vt:variant>
      <vt:variant>
        <vt:lpwstr/>
      </vt:variant>
      <vt:variant>
        <vt:i4>4653066</vt:i4>
      </vt:variant>
      <vt:variant>
        <vt:i4>81</vt:i4>
      </vt:variant>
      <vt:variant>
        <vt:i4>0</vt:i4>
      </vt:variant>
      <vt:variant>
        <vt:i4>5</vt:i4>
      </vt:variant>
      <vt:variant>
        <vt:lpwstr>../doct/dian_905133_20.pdf</vt:lpwstr>
      </vt:variant>
      <vt:variant>
        <vt:lpwstr/>
      </vt:variant>
      <vt:variant>
        <vt:i4>5832728</vt:i4>
      </vt:variant>
      <vt:variant>
        <vt:i4>78</vt:i4>
      </vt:variant>
      <vt:variant>
        <vt:i4>0</vt:i4>
      </vt:variant>
      <vt:variant>
        <vt:i4>5</vt:i4>
      </vt:variant>
      <vt:variant>
        <vt:lpwstr>dur_1625_16.doc</vt:lpwstr>
      </vt:variant>
      <vt:variant>
        <vt:lpwstr/>
      </vt:variant>
      <vt:variant>
        <vt:i4>8</vt:i4>
      </vt:variant>
      <vt:variant>
        <vt:i4>75</vt:i4>
      </vt:variant>
      <vt:variant>
        <vt:i4>0</vt:i4>
      </vt:variant>
      <vt:variant>
        <vt:i4>5</vt:i4>
      </vt:variant>
      <vt:variant>
        <vt:lpwstr>../juri/sc_039_21.doc</vt:lpwstr>
      </vt:variant>
      <vt:variant>
        <vt:lpwstr/>
      </vt:variant>
      <vt:variant>
        <vt:i4>2424938</vt:i4>
      </vt:variant>
      <vt:variant>
        <vt:i4>72</vt:i4>
      </vt:variant>
      <vt:variant>
        <vt:i4>0</vt:i4>
      </vt:variant>
      <vt:variant>
        <vt:i4>5</vt:i4>
      </vt:variant>
      <vt:variant>
        <vt:lpwstr>l_1943_18.doc</vt:lpwstr>
      </vt:variant>
      <vt:variant>
        <vt:lpwstr/>
      </vt:variant>
      <vt:variant>
        <vt:i4>1572931</vt:i4>
      </vt:variant>
      <vt:variant>
        <vt:i4>69</vt:i4>
      </vt:variant>
      <vt:variant>
        <vt:i4>0</vt:i4>
      </vt:variant>
      <vt:variant>
        <vt:i4>5</vt:i4>
      </vt:variant>
      <vt:variant>
        <vt:lpwstr>dr_1068_15.doc</vt:lpwstr>
      </vt:variant>
      <vt:variant>
        <vt:lpwstr/>
      </vt:variant>
      <vt:variant>
        <vt:i4>2752608</vt:i4>
      </vt:variant>
      <vt:variant>
        <vt:i4>66</vt:i4>
      </vt:variant>
      <vt:variant>
        <vt:i4>0</vt:i4>
      </vt:variant>
      <vt:variant>
        <vt:i4>5</vt:i4>
      </vt:variant>
      <vt:variant>
        <vt:lpwstr>d_3357_09.doc</vt:lpwstr>
      </vt:variant>
      <vt:variant>
        <vt:lpwstr/>
      </vt:variant>
      <vt:variant>
        <vt:i4>7340151</vt:i4>
      </vt:variant>
      <vt:variant>
        <vt:i4>63</vt:i4>
      </vt:variant>
      <vt:variant>
        <vt:i4>0</vt:i4>
      </vt:variant>
      <vt:variant>
        <vt:i4>5</vt:i4>
      </vt:variant>
      <vt:variant>
        <vt:lpwstr>../juri/sc_503_23com47.doc</vt:lpwstr>
      </vt:variant>
      <vt:variant>
        <vt:lpwstr/>
      </vt:variant>
      <vt:variant>
        <vt:i4>1769480</vt:i4>
      </vt:variant>
      <vt:variant>
        <vt:i4>60</vt:i4>
      </vt:variant>
      <vt:variant>
        <vt:i4>0</vt:i4>
      </vt:variant>
      <vt:variant>
        <vt:i4>5</vt:i4>
      </vt:variant>
      <vt:variant>
        <vt:lpwstr>dl_682_20.doc</vt:lpwstr>
      </vt:variant>
      <vt:variant>
        <vt:lpwstr/>
      </vt:variant>
      <vt:variant>
        <vt:i4>1769480</vt:i4>
      </vt:variant>
      <vt:variant>
        <vt:i4>57</vt:i4>
      </vt:variant>
      <vt:variant>
        <vt:i4>0</vt:i4>
      </vt:variant>
      <vt:variant>
        <vt:i4>5</vt:i4>
      </vt:variant>
      <vt:variant>
        <vt:lpwstr>dl_682_20.doc</vt:lpwstr>
      </vt:variant>
      <vt:variant>
        <vt:lpwstr/>
      </vt:variant>
      <vt:variant>
        <vt:i4>1769480</vt:i4>
      </vt:variant>
      <vt:variant>
        <vt:i4>54</vt:i4>
      </vt:variant>
      <vt:variant>
        <vt:i4>0</vt:i4>
      </vt:variant>
      <vt:variant>
        <vt:i4>5</vt:i4>
      </vt:variant>
      <vt:variant>
        <vt:lpwstr>dl_682_20.doc</vt:lpwstr>
      </vt:variant>
      <vt:variant>
        <vt:lpwstr/>
      </vt:variant>
      <vt:variant>
        <vt:i4>8257599</vt:i4>
      </vt:variant>
      <vt:variant>
        <vt:i4>51</vt:i4>
      </vt:variant>
      <vt:variant>
        <vt:i4>0</vt:i4>
      </vt:variant>
      <vt:variant>
        <vt:i4>5</vt:i4>
      </vt:variant>
      <vt:variant>
        <vt:lpwstr>../doct/dian_3453_20.pdf</vt:lpwstr>
      </vt:variant>
      <vt:variant>
        <vt:lpwstr/>
      </vt:variant>
      <vt:variant>
        <vt:i4>3145745</vt:i4>
      </vt:variant>
      <vt:variant>
        <vt:i4>48</vt:i4>
      </vt:variant>
      <vt:variant>
        <vt:i4>0</vt:i4>
      </vt:variant>
      <vt:variant>
        <vt:i4>5</vt:i4>
      </vt:variant>
      <vt:variant>
        <vt:lpwstr>r_daps_356_22.pdf</vt:lpwstr>
      </vt:variant>
      <vt:variant>
        <vt:lpwstr/>
      </vt:variant>
      <vt:variant>
        <vt:i4>2162697</vt:i4>
      </vt:variant>
      <vt:variant>
        <vt:i4>45</vt:i4>
      </vt:variant>
      <vt:variant>
        <vt:i4>0</vt:i4>
      </vt:variant>
      <vt:variant>
        <vt:i4>5</vt:i4>
      </vt:variant>
      <vt:variant>
        <vt:lpwstr>G:\Mis Documentos\act\ACTUALIZACION\susc\cdj\conc\dl_458_20.doc</vt:lpwstr>
      </vt:variant>
      <vt:variant>
        <vt:lpwstr/>
      </vt:variant>
      <vt:variant>
        <vt:i4>7012372</vt:i4>
      </vt:variant>
      <vt:variant>
        <vt:i4>42</vt:i4>
      </vt:variant>
      <vt:variant>
        <vt:i4>0</vt:i4>
      </vt:variant>
      <vt:variant>
        <vt:i4>5</vt:i4>
      </vt:variant>
      <vt:variant>
        <vt:lpwstr>G:\Mis Documentos\act\ACTUALIZACION\susc\cdj\conc\dur_1625_16.doc</vt:lpwstr>
      </vt:variant>
      <vt:variant>
        <vt:lpwstr/>
      </vt:variant>
      <vt:variant>
        <vt:i4>5832728</vt:i4>
      </vt:variant>
      <vt:variant>
        <vt:i4>39</vt:i4>
      </vt:variant>
      <vt:variant>
        <vt:i4>0</vt:i4>
      </vt:variant>
      <vt:variant>
        <vt:i4>5</vt:i4>
      </vt:variant>
      <vt:variant>
        <vt:lpwstr>dur_1625_16.doc</vt:lpwstr>
      </vt:variant>
      <vt:variant>
        <vt:lpwstr/>
      </vt:variant>
      <vt:variant>
        <vt:i4>589839</vt:i4>
      </vt:variant>
      <vt:variant>
        <vt:i4>36</vt:i4>
      </vt:variant>
      <vt:variant>
        <vt:i4>0</vt:i4>
      </vt:variant>
      <vt:variant>
        <vt:i4>5</vt:i4>
      </vt:variant>
      <vt:variant>
        <vt:lpwstr>../juri/sc_040_21.doc</vt:lpwstr>
      </vt:variant>
      <vt:variant>
        <vt:lpwstr/>
      </vt:variant>
      <vt:variant>
        <vt:i4>3080291</vt:i4>
      </vt:variant>
      <vt:variant>
        <vt:i4>33</vt:i4>
      </vt:variant>
      <vt:variant>
        <vt:i4>0</vt:i4>
      </vt:variant>
      <vt:variant>
        <vt:i4>5</vt:i4>
      </vt:variant>
      <vt:variant>
        <vt:lpwstr>l_1575_12.doc</vt:lpwstr>
      </vt:variant>
      <vt:variant>
        <vt:lpwstr/>
      </vt:variant>
      <vt:variant>
        <vt:i4>7798907</vt:i4>
      </vt:variant>
      <vt:variant>
        <vt:i4>30</vt:i4>
      </vt:variant>
      <vt:variant>
        <vt:i4>0</vt:i4>
      </vt:variant>
      <vt:variant>
        <vt:i4>5</vt:i4>
      </vt:variant>
      <vt:variant>
        <vt:lpwstr>../doct/dian_207_20.doc</vt:lpwstr>
      </vt:variant>
      <vt:variant>
        <vt:lpwstr/>
      </vt:variant>
      <vt:variant>
        <vt:i4>131145</vt:i4>
      </vt:variant>
      <vt:variant>
        <vt:i4>27</vt:i4>
      </vt:variant>
      <vt:variant>
        <vt:i4>0</vt:i4>
      </vt:variant>
      <vt:variant>
        <vt:i4>5</vt:i4>
      </vt:variant>
      <vt:variant>
        <vt:lpwstr>dl_1228_95.doc</vt:lpwstr>
      </vt:variant>
      <vt:variant>
        <vt:lpwstr/>
      </vt:variant>
      <vt:variant>
        <vt:i4>2621550</vt:i4>
      </vt:variant>
      <vt:variant>
        <vt:i4>24</vt:i4>
      </vt:variant>
      <vt:variant>
        <vt:i4>0</vt:i4>
      </vt:variant>
      <vt:variant>
        <vt:i4>5</vt:i4>
      </vt:variant>
      <vt:variant>
        <vt:lpwstr>l_1493_11.doc</vt:lpwstr>
      </vt:variant>
      <vt:variant>
        <vt:lpwstr/>
      </vt:variant>
      <vt:variant>
        <vt:i4>131088</vt:i4>
      </vt:variant>
      <vt:variant>
        <vt:i4>21</vt:i4>
      </vt:variant>
      <vt:variant>
        <vt:i4>0</vt:i4>
      </vt:variant>
      <vt:variant>
        <vt:i4>5</vt:i4>
      </vt:variant>
      <vt:variant>
        <vt:lpwstr>l_115_94.doc</vt:lpwstr>
      </vt:variant>
      <vt:variant>
        <vt:lpwstr/>
      </vt:variant>
      <vt:variant>
        <vt:i4>1507414</vt:i4>
      </vt:variant>
      <vt:variant>
        <vt:i4>18</vt:i4>
      </vt:variant>
      <vt:variant>
        <vt:i4>0</vt:i4>
      </vt:variant>
      <vt:variant>
        <vt:i4>5</vt:i4>
      </vt:variant>
      <vt:variant>
        <vt:lpwstr>l_30_92.doc</vt:lpwstr>
      </vt:variant>
      <vt:variant>
        <vt:lpwstr/>
      </vt:variant>
      <vt:variant>
        <vt:i4>21</vt:i4>
      </vt:variant>
      <vt:variant>
        <vt:i4>15</vt:i4>
      </vt:variant>
      <vt:variant>
        <vt:i4>0</vt:i4>
      </vt:variant>
      <vt:variant>
        <vt:i4>5</vt:i4>
      </vt:variant>
      <vt:variant>
        <vt:lpwstr>l_223_95.doc</vt:lpwstr>
      </vt:variant>
      <vt:variant>
        <vt:lpwstr/>
      </vt:variant>
      <vt:variant>
        <vt:i4>589839</vt:i4>
      </vt:variant>
      <vt:variant>
        <vt:i4>12</vt:i4>
      </vt:variant>
      <vt:variant>
        <vt:i4>0</vt:i4>
      </vt:variant>
      <vt:variant>
        <vt:i4>5</vt:i4>
      </vt:variant>
      <vt:variant>
        <vt:lpwstr>../juri/sc_040_21.doc</vt:lpwstr>
      </vt:variant>
      <vt:variant>
        <vt:lpwstr/>
      </vt:variant>
      <vt:variant>
        <vt:i4>524299</vt:i4>
      </vt:variant>
      <vt:variant>
        <vt:i4>9</vt:i4>
      </vt:variant>
      <vt:variant>
        <vt:i4>0</vt:i4>
      </vt:variant>
      <vt:variant>
        <vt:i4>5</vt:i4>
      </vt:variant>
      <vt:variant>
        <vt:lpwstr>../juri/sc_203_21.doc</vt:lpwstr>
      </vt:variant>
      <vt:variant>
        <vt:lpwstr/>
      </vt:variant>
      <vt:variant>
        <vt:i4>7340151</vt:i4>
      </vt:variant>
      <vt:variant>
        <vt:i4>6</vt:i4>
      </vt:variant>
      <vt:variant>
        <vt:i4>0</vt:i4>
      </vt:variant>
      <vt:variant>
        <vt:i4>5</vt:i4>
      </vt:variant>
      <vt:variant>
        <vt:lpwstr>../juri/sc_503_23com47.doc</vt:lpwstr>
      </vt:variant>
      <vt:variant>
        <vt:lpwstr/>
      </vt:variant>
      <vt:variant>
        <vt:i4>2031709</vt:i4>
      </vt:variant>
      <vt:variant>
        <vt:i4>3</vt:i4>
      </vt:variant>
      <vt:variant>
        <vt:i4>0</vt:i4>
      </vt:variant>
      <vt:variant>
        <vt:i4>5</vt:i4>
      </vt:variant>
      <vt:variant>
        <vt:lpwstr>l_98_93.doc</vt:lpwstr>
      </vt:variant>
      <vt:variant>
        <vt:lpwstr/>
      </vt:variant>
      <vt:variant>
        <vt:i4>2424938</vt:i4>
      </vt:variant>
      <vt:variant>
        <vt:i4>0</vt:i4>
      </vt:variant>
      <vt:variant>
        <vt:i4>0</vt:i4>
      </vt:variant>
      <vt:variant>
        <vt:i4>5</vt:i4>
      </vt:variant>
      <vt:variant>
        <vt:lpwstr>l_1943_18.doc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Editorial Nueva Legislación</dc:creator>
  <cp:lastModifiedBy>Heidy Gomez</cp:lastModifiedBy>
  <cp:revision>11</cp:revision>
  <dcterms:created xsi:type="dcterms:W3CDTF">2024-12-16T19:25:00Z</dcterms:created>
  <dcterms:modified xsi:type="dcterms:W3CDTF">2025-04-10T00:52:00Z</dcterms:modified>
</cp:coreProperties>
</file>